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tabs>
          <w:tab w:val="left" w:pos="450"/>
          <w:tab w:val="left" w:pos="6096"/>
        </w:tabs>
        <w:spacing w:after="0"/>
        <w:ind w:left="360" w:hanging="360"/>
        <w:rPr>
          <w:rFonts w:ascii="Times New Roman" w:cs="Times New Roman" w:hAnsi="Times New Roman" w:eastAsia="Times New Roman"/>
          <w:b w:val="1"/>
          <w:bCs w:val="1"/>
          <w:i w:val="1"/>
          <w:iCs w:val="1"/>
          <w:sz w:val="32"/>
          <w:szCs w:val="32"/>
        </w:rPr>
      </w:pPr>
      <w:r>
        <w:rPr>
          <w:rFonts w:ascii="Times New Roman" w:hAnsi="Times New Roman"/>
          <w:b w:val="1"/>
          <w:bCs w:val="1"/>
          <w:sz w:val="32"/>
          <w:szCs w:val="32"/>
          <w:rtl w:val="0"/>
        </w:rPr>
        <w:t>Tejaswini K</w:t>
      </w:r>
    </w:p>
    <w:p>
      <w:pPr>
        <w:pStyle w:val="Body"/>
        <w:tabs>
          <w:tab w:val="left" w:pos="450"/>
        </w:tabs>
        <w:spacing w:after="0"/>
        <w:ind w:left="360" w:hanging="360"/>
        <w:rPr>
          <w:rFonts w:ascii="Times New Roman" w:cs="Times New Roman" w:hAnsi="Times New Roman" w:eastAsia="Times New Roman"/>
          <w:b w:val="1"/>
          <w:bCs w:val="1"/>
          <w:i w:val="1"/>
          <w:iCs w:val="1"/>
          <w:outline w:val="0"/>
          <w:color w:val="0d0d0d"/>
          <w:sz w:val="24"/>
          <w:szCs w:val="24"/>
          <w:u w:color="0d0d0d"/>
          <w14:textFill>
            <w14:solidFill>
              <w14:srgbClr w14:val="0D0D0D"/>
            </w14:solidFill>
          </w14:textFill>
        </w:rPr>
      </w:pPr>
      <w:r>
        <w:rPr>
          <w:rFonts w:ascii="Times New Roman" w:hAnsi="Times New Roman"/>
          <w:b w:val="1"/>
          <w:bCs w:val="1"/>
          <w:i w:val="1"/>
          <w:iCs w:val="1"/>
          <w:outline w:val="0"/>
          <w:color w:val="0d0d0d"/>
          <w:sz w:val="24"/>
          <w:szCs w:val="24"/>
          <w:u w:color="0d0d0d"/>
          <w:rtl w:val="0"/>
          <w:lang w:val="en-US"/>
          <w14:textFill>
            <w14:solidFill>
              <w14:srgbClr w14:val="0D0D0D"/>
            </w14:solidFill>
          </w14:textFill>
        </w:rPr>
        <w:t>Senior Network Engineer</w:t>
      </w:r>
    </w:p>
    <w:p>
      <w:pPr>
        <w:pStyle w:val="Body"/>
        <w:tabs>
          <w:tab w:val="left" w:pos="450"/>
        </w:tabs>
        <w:spacing w:after="0"/>
        <w:ind w:left="360" w:hanging="360"/>
        <w:rPr>
          <w:rFonts w:ascii="Times New Roman" w:cs="Times New Roman" w:hAnsi="Times New Roman" w:eastAsia="Times New Roman"/>
          <w:outline w:val="0"/>
          <w:color w:val="0d0d0d"/>
          <w:sz w:val="24"/>
          <w:szCs w:val="24"/>
          <w:u w:color="0d0d0d"/>
          <w14:textFill>
            <w14:solidFill>
              <w14:srgbClr w14:val="0D0D0D"/>
            </w14:solidFill>
          </w14:textFill>
        </w:rPr>
      </w:pPr>
      <w:r>
        <w:rPr>
          <w:rFonts w:ascii="Times New Roman" w:hAnsi="Times New Roman"/>
          <w:i w:val="1"/>
          <w:iCs w:val="1"/>
          <w:outline w:val="0"/>
          <w:color w:val="0d0d0d"/>
          <w:sz w:val="24"/>
          <w:szCs w:val="24"/>
          <w:u w:color="0d0d0d"/>
          <w:rtl w:val="0"/>
          <w:lang w:val="it-IT"/>
          <w14:textFill>
            <w14:solidFill>
              <w14:srgbClr w14:val="0D0D0D"/>
            </w14:solidFill>
          </w14:textFill>
        </w:rPr>
        <w:t>Phone:</w:t>
      </w:r>
      <w:r>
        <w:rPr>
          <w:rFonts w:ascii="Times New Roman" w:hAnsi="Times New Roman"/>
          <w:outline w:val="0"/>
          <w:color w:val="0d0d0d"/>
          <w:sz w:val="24"/>
          <w:szCs w:val="24"/>
          <w:u w:color="0d0d0d"/>
          <w:rtl w:val="0"/>
          <w14:textFill>
            <w14:solidFill>
              <w14:srgbClr w14:val="0D0D0D"/>
            </w14:solidFill>
          </w14:textFill>
        </w:rPr>
        <w:t xml:space="preserve"> +1 2105601533</w:t>
      </w:r>
    </w:p>
    <w:p>
      <w:pPr>
        <w:pStyle w:val="Body"/>
        <w:pBdr>
          <w:top w:val="nil"/>
          <w:left w:val="nil"/>
          <w:bottom w:val="single" w:color="000000" w:sz="24" w:space="0" w:shadow="0" w:frame="0"/>
          <w:right w:val="nil"/>
        </w:pBdr>
        <w:tabs>
          <w:tab w:val="left" w:pos="450"/>
        </w:tabs>
        <w:spacing w:after="0"/>
        <w:ind w:left="360" w:hanging="360"/>
        <w:rPr>
          <w:rFonts w:ascii="Times New Roman" w:cs="Times New Roman" w:hAnsi="Times New Roman" w:eastAsia="Times New Roman"/>
          <w:i w:val="1"/>
          <w:iCs w:val="1"/>
          <w:outline w:val="0"/>
          <w:color w:val="0d0d0d"/>
          <w:sz w:val="24"/>
          <w:szCs w:val="24"/>
          <w:u w:color="0d0d0d"/>
          <w14:textFill>
            <w14:solidFill>
              <w14:srgbClr w14:val="0D0D0D"/>
            </w14:solidFill>
          </w14:textFill>
        </w:rPr>
      </w:pPr>
      <w:r>
        <w:rPr>
          <w:rFonts w:ascii="Times New Roman" w:hAnsi="Times New Roman"/>
          <w:i w:val="1"/>
          <w:iCs w:val="1"/>
          <w:outline w:val="0"/>
          <w:color w:val="0d0d0d"/>
          <w:sz w:val="24"/>
          <w:szCs w:val="24"/>
          <w:u w:color="0d0d0d"/>
          <w:rtl w:val="0"/>
          <w14:textFill>
            <w14:solidFill>
              <w14:srgbClr w14:val="0D0D0D"/>
            </w14:solidFill>
          </w14:textFill>
        </w:rPr>
        <w:t xml:space="preserve">Email:   </w:t>
      </w:r>
      <w:r>
        <w:rPr>
          <w:rFonts w:ascii="Times New Roman" w:hAnsi="Times New Roman"/>
          <w:outline w:val="0"/>
          <w:color w:val="0d0d0d"/>
          <w:sz w:val="24"/>
          <w:szCs w:val="24"/>
          <w:u w:color="0d0d0d"/>
          <w:rtl w:val="0"/>
          <w14:textFill>
            <w14:solidFill>
              <w14:srgbClr w14:val="0D0D0D"/>
            </w14:solidFill>
          </w14:textFill>
        </w:rPr>
        <w:t xml:space="preserve"> </w:t>
      </w:r>
      <w:r>
        <w:rPr>
          <w:rFonts w:ascii="Times New Roman" w:hAnsi="Times New Roman"/>
          <w:outline w:val="0"/>
          <w:color w:val="0d0d0d"/>
          <w:sz w:val="24"/>
          <w:szCs w:val="24"/>
          <w:u w:color="0d0d0d"/>
          <w:rtl w:val="0"/>
          <w:lang w:val="en-US"/>
          <w14:textFill>
            <w14:solidFill>
              <w14:srgbClr w14:val="0D0D0D"/>
            </w14:solidFill>
          </w14:textFill>
        </w:rPr>
        <w:t>tejaswinikaranam82@gmail.com</w:t>
      </w:r>
      <w:r>
        <w:rPr>
          <w:rFonts w:ascii="Times New Roman" w:hAnsi="Times New Roman"/>
          <w:outline w:val="0"/>
          <w:color w:val="0d0d0d"/>
          <w:sz w:val="24"/>
          <w:szCs w:val="24"/>
          <w:u w:color="0d0d0d"/>
          <w:rtl w:val="0"/>
          <w14:textFill>
            <w14:solidFill>
              <w14:srgbClr w14:val="0D0D0D"/>
            </w14:solidFill>
          </w14:textFill>
        </w:rPr>
        <w:t xml:space="preserve">     </w:t>
      </w:r>
      <w:r>
        <w:rPr>
          <w:rFonts w:ascii="Times New Roman" w:hAnsi="Times New Roman"/>
          <w:i w:val="1"/>
          <w:iCs w:val="1"/>
          <w:outline w:val="0"/>
          <w:color w:val="0d0d0d"/>
          <w:sz w:val="24"/>
          <w:szCs w:val="24"/>
          <w:u w:color="0d0d0d"/>
          <w:rtl w:val="0"/>
          <w14:textFill>
            <w14:solidFill>
              <w14:srgbClr w14:val="0D0D0D"/>
            </w14:solidFill>
          </w14:textFill>
        </w:rPr>
        <w:t xml:space="preserve">              LinkedIn:</w:t>
      </w:r>
      <w:r>
        <w:rPr>
          <w:rFonts w:ascii="Times New Roman" w:hAnsi="Times New Roman"/>
          <w:i w:val="1"/>
          <w:iCs w:val="1"/>
          <w:outline w:val="0"/>
          <w:color w:val="0d0d0d"/>
          <w:sz w:val="24"/>
          <w:szCs w:val="24"/>
          <w:u w:color="0d0d0d"/>
          <w:rtl w:val="0"/>
          <w:lang w:val="en-US"/>
          <w14:textFill>
            <w14:solidFill>
              <w14:srgbClr w14:val="0D0D0D"/>
            </w14:solidFill>
          </w14:textFill>
        </w:rPr>
        <w:t xml:space="preserve"> </w:t>
      </w:r>
      <w:r>
        <w:rPr>
          <w:rFonts w:ascii="Times New Roman" w:hAnsi="Times New Roman"/>
          <w:outline w:val="0"/>
          <w:color w:val="0d0d0d"/>
          <w:sz w:val="24"/>
          <w:szCs w:val="24"/>
          <w:u w:color="0d0d0d"/>
          <w:rtl w:val="0"/>
          <w14:textFill>
            <w14:solidFill>
              <w14:srgbClr w14:val="0D0D0D"/>
            </w14:solidFill>
          </w14:textFill>
        </w:rPr>
        <w:t xml:space="preserve">www.linkedin.com/in/karanam-tejaswini           </w:t>
      </w:r>
      <w:r>
        <w:rPr>
          <w:rFonts w:ascii="Times New Roman" w:hAnsi="Times New Roman"/>
          <w:i w:val="1"/>
          <w:iCs w:val="1"/>
          <w:outline w:val="0"/>
          <w:color w:val="0d0d0d"/>
          <w:sz w:val="24"/>
          <w:szCs w:val="24"/>
          <w:u w:color="0d0d0d"/>
          <w:rtl w:val="0"/>
          <w14:textFill>
            <w14:solidFill>
              <w14:srgbClr w14:val="0D0D0D"/>
            </w14:solidFill>
          </w14:textFill>
        </w:rPr>
        <w:t xml:space="preserve">                                </w:t>
      </w:r>
    </w:p>
    <w:p>
      <w:pPr>
        <w:pStyle w:val="Body"/>
        <w:spacing w:after="0" w:line="240" w:lineRule="auto"/>
        <w:rPr>
          <w:rFonts w:ascii="Times New Roman" w:cs="Times New Roman" w:hAnsi="Times New Roman" w:eastAsia="Times New Roman"/>
          <w:outline w:val="0"/>
          <w:color w:val="000000"/>
          <w:sz w:val="24"/>
          <w:szCs w:val="24"/>
          <w:u w:color="000000"/>
          <w14:textFill>
            <w14:solidFill>
              <w14:srgbClr w14:val="000000"/>
            </w14:solidFill>
          </w14:textFill>
        </w:rPr>
      </w:pPr>
    </w:p>
    <w:p>
      <w:pPr>
        <w:pStyle w:val="Body"/>
        <w:spacing w:after="0" w:line="240" w:lineRule="auto"/>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en-US"/>
        </w:rPr>
        <w:t xml:space="preserve">PROFILE SUMMARY </w:t>
      </w:r>
    </w:p>
    <w:p>
      <w:pPr>
        <w:pStyle w:val="Body"/>
        <w:numPr>
          <w:ilvl w:val="0"/>
          <w:numId w:val="2"/>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Senior Network Engineer with 11+ years of experience designing, implementing, securing, and supporting enterprise-scale network infrastructures across Telecommunications, Banking, Healthcare, Retail, Logistics, and Insurance domains.</w:t>
      </w:r>
    </w:p>
    <w:p>
      <w:pPr>
        <w:pStyle w:val="Body"/>
        <w:numPr>
          <w:ilvl w:val="0"/>
          <w:numId w:val="2"/>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Extensive experience in designing and managing highly available LAN, WAN, WLAN, Data Center, Cloud, and SD-WAN environments supporting mission-critical business operations.</w:t>
      </w:r>
    </w:p>
    <w:p>
      <w:pPr>
        <w:pStyle w:val="Body"/>
        <w:numPr>
          <w:ilvl w:val="0"/>
          <w:numId w:val="2"/>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Strong expertise in Cisco Routing and Switching technologies including Catalyst, Nexus, ASR, ISR, and Cisco ACI architectures.</w:t>
      </w:r>
    </w:p>
    <w:p>
      <w:pPr>
        <w:pStyle w:val="Body"/>
        <w:numPr>
          <w:ilvl w:val="0"/>
          <w:numId w:val="2"/>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Proven experience implementing enterprise-wide SD-WAN solutions using Cisco Viptela, Versa Networks, Meraki SD-WAN, and MPLS transformation initiatives.</w:t>
      </w:r>
    </w:p>
    <w:p>
      <w:pPr>
        <w:pStyle w:val="Body"/>
        <w:numPr>
          <w:ilvl w:val="0"/>
          <w:numId w:val="2"/>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Hands-on experience configuring and troubleshooting routing protocols including BGP, OSPF, EIGRP, IS-IS, MPLS, VRF-Lite, and Multicast technologies.</w:t>
      </w:r>
    </w:p>
    <w:p>
      <w:pPr>
        <w:pStyle w:val="Body"/>
        <w:numPr>
          <w:ilvl w:val="0"/>
          <w:numId w:val="2"/>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Expertise in deploying and administering Palo Alto, Fortinet, Checkpoint, Cisco ASA, Firepower, and Juniper SRX security platforms.</w:t>
      </w:r>
    </w:p>
    <w:p>
      <w:pPr>
        <w:pStyle w:val="Body"/>
        <w:numPr>
          <w:ilvl w:val="0"/>
          <w:numId w:val="2"/>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Strong knowledge of Network Access Control solutions utilizing Cisco ISE, TACACS+, RADIUS, 802.1X, and Zero Trust security frameworks.</w:t>
      </w:r>
    </w:p>
    <w:p>
      <w:pPr>
        <w:pStyle w:val="Body"/>
        <w:numPr>
          <w:ilvl w:val="0"/>
          <w:numId w:val="2"/>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Extensive experience designing scalable enterprise wireless infrastructures utilizing Cisco WLC, Cisco Meraki, Aruba Mobility Controllers, and Wi-Fi 6 technologies.</w:t>
      </w:r>
    </w:p>
    <w:p>
      <w:pPr>
        <w:pStyle w:val="Body"/>
        <w:numPr>
          <w:ilvl w:val="0"/>
          <w:numId w:val="2"/>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Skilled in implementing high availability solutions utilizing HSRP, VRRP, GLBP, EtherChannel, VPC, and Multi-Chassis Redundancy technologies.</w:t>
      </w:r>
    </w:p>
    <w:p>
      <w:pPr>
        <w:pStyle w:val="Body"/>
        <w:numPr>
          <w:ilvl w:val="0"/>
          <w:numId w:val="2"/>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Experience managing large-scale data center environments utilizing Cisco Nexus 9000/7000 platforms and Spine-Leaf architectures.</w:t>
      </w:r>
    </w:p>
    <w:p>
      <w:pPr>
        <w:pStyle w:val="Body"/>
        <w:numPr>
          <w:ilvl w:val="0"/>
          <w:numId w:val="2"/>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Strong expertise in network segmentation, micro-segmentation, firewall policy management, VPN solutions, and regulatory compliance initiatives.</w:t>
      </w:r>
    </w:p>
    <w:p>
      <w:pPr>
        <w:pStyle w:val="Body"/>
        <w:numPr>
          <w:ilvl w:val="0"/>
          <w:numId w:val="2"/>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Hands-on experience supporting AWS and Azure cloud networking environments including Direct Connect, ExpressRoute, Transit Gateway, VPN Gateway, and hybrid cloud architectures.</w:t>
      </w:r>
    </w:p>
    <w:p>
      <w:pPr>
        <w:pStyle w:val="Body"/>
        <w:numPr>
          <w:ilvl w:val="0"/>
          <w:numId w:val="2"/>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Experience deploying and managing F5 BIG-IP Load Balancers including LTM, GTM, SSL Offloading, iRules, and Application Delivery optimization.</w:t>
      </w:r>
    </w:p>
    <w:p>
      <w:pPr>
        <w:pStyle w:val="Body"/>
        <w:numPr>
          <w:ilvl w:val="0"/>
          <w:numId w:val="2"/>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Strong background in network automation utilizing Python, Ansible, Terraform, REST APIs, and Infrastructure as Code methodologies.</w:t>
      </w:r>
    </w:p>
    <w:p>
      <w:pPr>
        <w:pStyle w:val="Body"/>
        <w:numPr>
          <w:ilvl w:val="0"/>
          <w:numId w:val="2"/>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Proficient in network monitoring, capacity planning, traffic analysis, and performance optimization utilizing SolarWinds, Wireshark, NetFlow, Infoblox, and ThousandEyes.</w:t>
      </w:r>
    </w:p>
    <w:p>
      <w:pPr>
        <w:pStyle w:val="Body"/>
        <w:numPr>
          <w:ilvl w:val="0"/>
          <w:numId w:val="2"/>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Extensive experience leading network transformation projects including cloud migration, SD-WAN modernization, data center consolidation, and infrastructure refresh programs.</w:t>
      </w:r>
    </w:p>
    <w:p>
      <w:pPr>
        <w:pStyle w:val="Body"/>
        <w:numPr>
          <w:ilvl w:val="0"/>
          <w:numId w:val="2"/>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Adept at troubleshooting complex Layer 2 through L</w:t>
      </w:r>
      <w:r>
        <w:rPr>
          <w:rFonts w:ascii="Times New Roman" w:hAnsi="Times New Roman"/>
          <w:sz w:val="20"/>
          <w:szCs w:val="20"/>
          <w:rtl w:val="0"/>
          <w:lang w:val="en-US"/>
        </w:rPr>
        <w:t xml:space="preserve"> </w:t>
      </w:r>
      <w:r>
        <w:rPr>
          <w:rFonts w:ascii="Times New Roman" w:hAnsi="Times New Roman"/>
          <w:sz w:val="20"/>
          <w:szCs w:val="20"/>
          <w:rtl w:val="0"/>
          <w:lang w:val="en-US"/>
        </w:rPr>
        <w:t>ayer 7 networking issues while maintaining strict SLA and operational requirements.</w:t>
      </w:r>
    </w:p>
    <w:p>
      <w:pPr>
        <w:pStyle w:val="Body"/>
        <w:numPr>
          <w:ilvl w:val="0"/>
          <w:numId w:val="2"/>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Experience collaborating with cloud, security, infrastructure, and application teams to deliver highly resilient networking solutions.</w:t>
      </w:r>
    </w:p>
    <w:p>
      <w:pPr>
        <w:pStyle w:val="Body"/>
        <w:numPr>
          <w:ilvl w:val="0"/>
          <w:numId w:val="2"/>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Strong understanding of ITIL, Agile, Change Management, Incident Management, and Problem Management processes.</w:t>
      </w:r>
    </w:p>
    <w:p>
      <w:pPr>
        <w:pStyle w:val="Body"/>
        <w:numPr>
          <w:ilvl w:val="0"/>
          <w:numId w:val="2"/>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Proven leadership abilities in mentoring junior engineers, leading technical initiatives, coordinating vendor engagements, and driving operational excellence.</w:t>
      </w:r>
    </w:p>
    <w:p>
      <w:pPr>
        <w:pStyle w:val="Body"/>
        <w:spacing w:after="0" w:line="240" w:lineRule="auto"/>
        <w:rPr>
          <w:rFonts w:ascii="Times New Roman" w:cs="Times New Roman" w:hAnsi="Times New Roman" w:eastAsia="Times New Roman"/>
          <w:sz w:val="24"/>
          <w:szCs w:val="24"/>
        </w:rPr>
      </w:pPr>
    </w:p>
    <w:p>
      <w:pPr>
        <w:pStyle w:val="Body"/>
        <w:spacing w:after="0" w:line="240" w:lineRule="auto"/>
        <w:rPr>
          <w:rFonts w:ascii="Times New Roman" w:cs="Times New Roman" w:hAnsi="Times New Roman" w:eastAsia="Times New Roman"/>
          <w:sz w:val="20"/>
          <w:szCs w:val="20"/>
        </w:rPr>
      </w:pPr>
      <w:r>
        <w:rPr>
          <w:rFonts w:ascii="Times New Roman" w:hAnsi="Times New Roman"/>
          <w:b w:val="1"/>
          <w:bCs w:val="1"/>
          <w:sz w:val="28"/>
          <w:szCs w:val="28"/>
          <w:rtl w:val="0"/>
          <w:lang w:val="en-US"/>
        </w:rPr>
        <w:t>Education:</w:t>
      </w:r>
      <w:r>
        <w:rPr>
          <w:rFonts w:ascii="Times New Roman" w:hAnsi="Times New Roman"/>
          <w:sz w:val="24"/>
          <w:szCs w:val="24"/>
          <w:rtl w:val="0"/>
        </w:rPr>
        <w:t xml:space="preserve"> </w:t>
      </w:r>
      <w:r>
        <w:rPr>
          <w:rFonts w:ascii="Times New Roman" w:hAnsi="Times New Roman"/>
          <w:sz w:val="20"/>
          <w:szCs w:val="20"/>
          <w:rtl w:val="0"/>
        </w:rPr>
        <w:t>Bachelor</w:t>
      </w:r>
      <w:r>
        <w:rPr>
          <w:rFonts w:ascii="Times New Roman" w:hAnsi="Times New Roman" w:hint="default"/>
          <w:sz w:val="20"/>
          <w:szCs w:val="20"/>
          <w:rtl w:val="0"/>
          <w:lang w:val="en-US"/>
        </w:rPr>
        <w:t>’</w:t>
      </w:r>
      <w:r>
        <w:rPr>
          <w:rFonts w:ascii="Times New Roman" w:hAnsi="Times New Roman"/>
          <w:sz w:val="20"/>
          <w:szCs w:val="20"/>
          <w:rtl w:val="0"/>
          <w:lang w:val="en-US"/>
        </w:rPr>
        <w:t xml:space="preserve">s in </w:t>
      </w:r>
      <w:r>
        <w:rPr>
          <w:rFonts w:ascii="Times New Roman" w:hAnsi="Times New Roman"/>
          <w:sz w:val="20"/>
          <w:szCs w:val="20"/>
          <w:rtl w:val="0"/>
          <w:lang w:val="en-US"/>
        </w:rPr>
        <w:t xml:space="preserve">Computer Science JNTUK </w:t>
      </w:r>
      <w:r>
        <w:rPr>
          <w:rFonts w:ascii="Times New Roman" w:hAnsi="Times New Roman"/>
          <w:sz w:val="20"/>
          <w:szCs w:val="20"/>
          <w:rtl w:val="0"/>
          <w:lang w:val="en-US"/>
        </w:rPr>
        <w:t xml:space="preserve"> in 2012.</w:t>
      </w:r>
    </w:p>
    <w:p>
      <w:pPr>
        <w:pStyle w:val="Body"/>
        <w:spacing w:before="240" w:after="240" w:line="240" w:lineRule="auto"/>
        <w:rPr>
          <w:rFonts w:ascii="Times New Roman" w:cs="Times New Roman" w:hAnsi="Times New Roman" w:eastAsia="Times New Roman"/>
          <w:b w:val="1"/>
          <w:bCs w:val="1"/>
          <w:sz w:val="28"/>
          <w:szCs w:val="28"/>
        </w:rPr>
      </w:pPr>
      <w:r>
        <w:rPr>
          <w:rFonts w:ascii="Times New Roman" w:hAnsi="Times New Roman"/>
          <w:b w:val="1"/>
          <w:bCs w:val="1"/>
          <w:sz w:val="28"/>
          <w:szCs w:val="28"/>
          <w:rtl w:val="0"/>
          <w:lang w:val="fr-FR"/>
        </w:rPr>
        <w:t>Certifications:</w:t>
      </w:r>
    </w:p>
    <w:p>
      <w:pPr>
        <w:pStyle w:val="List Paragraph"/>
        <w:numPr>
          <w:ilvl w:val="0"/>
          <w:numId w:val="4"/>
        </w:numPr>
        <w:bidi w:val="0"/>
        <w:spacing w:before="240" w:after="240"/>
        <w:ind w:right="0"/>
        <w:jc w:val="left"/>
        <w:rPr>
          <w:rFonts w:ascii="Times New Roman" w:hAnsi="Times New Roman"/>
          <w:sz w:val="20"/>
          <w:szCs w:val="20"/>
          <w:rtl w:val="0"/>
          <w:lang w:val="en-US"/>
        </w:rPr>
      </w:pPr>
      <w:r>
        <w:rPr>
          <w:rFonts w:ascii="Times New Roman" w:hAnsi="Times New Roman"/>
          <w:sz w:val="20"/>
          <w:szCs w:val="20"/>
          <w:rtl w:val="0"/>
          <w:lang w:val="en-US"/>
        </w:rPr>
        <w:t>CCNP Enterprise</w:t>
      </w:r>
    </w:p>
    <w:p>
      <w:pPr>
        <w:pStyle w:val="Body"/>
        <w:spacing w:after="0" w:line="240" w:lineRule="auto"/>
        <w:rPr>
          <w:rFonts w:ascii="Times New Roman" w:cs="Times New Roman" w:hAnsi="Times New Roman" w:eastAsia="Times New Roman"/>
          <w:b w:val="1"/>
          <w:bCs w:val="1"/>
          <w:outline w:val="0"/>
          <w:color w:val="000000"/>
          <w:sz w:val="28"/>
          <w:szCs w:val="28"/>
          <w:u w:color="000000"/>
          <w14:textFill>
            <w14:solidFill>
              <w14:srgbClr w14:val="000000"/>
            </w14:solidFill>
          </w14:textFill>
        </w:rPr>
      </w:pPr>
      <w:r>
        <w:rPr>
          <w:rFonts w:ascii="Times New Roman" w:hAnsi="Times New Roman"/>
          <w:b w:val="1"/>
          <w:bCs w:val="1"/>
          <w:outline w:val="0"/>
          <w:color w:val="000000"/>
          <w:sz w:val="28"/>
          <w:szCs w:val="28"/>
          <w:u w:color="000000"/>
          <w:rtl w:val="0"/>
          <w:lang w:val="en-US"/>
          <w14:textFill>
            <w14:solidFill>
              <w14:srgbClr w14:val="000000"/>
            </w14:solidFill>
          </w14:textFill>
        </w:rPr>
        <w:t>Technical Skills:</w:t>
      </w:r>
    </w:p>
    <w:p>
      <w:pPr>
        <w:pStyle w:val="Body"/>
        <w:spacing w:after="0" w:line="240" w:lineRule="auto"/>
        <w:rPr>
          <w:rFonts w:ascii="Times New Roman" w:cs="Times New Roman" w:hAnsi="Times New Roman" w:eastAsia="Times New Roman"/>
          <w:b w:val="1"/>
          <w:bCs w:val="1"/>
          <w:outline w:val="0"/>
          <w:color w:val="000000"/>
          <w:sz w:val="24"/>
          <w:szCs w:val="24"/>
          <w:u w:color="000000"/>
          <w14:textFill>
            <w14:solidFill>
              <w14:srgbClr w14:val="000000"/>
            </w14:solidFill>
          </w14:textFill>
        </w:rPr>
      </w:pPr>
    </w:p>
    <w:tbl>
      <w:tblPr>
        <w:tblW w:w="10468"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3505"/>
        <w:gridCol w:w="6963"/>
      </w:tblGrid>
      <w:tr>
        <w:tblPrEx>
          <w:shd w:val="clear" w:color="auto" w:fill="cdd4e9"/>
        </w:tblPrEx>
        <w:trPr>
          <w:trHeight w:val="316" w:hRule="atLeast"/>
        </w:trPr>
        <w:tc>
          <w:tcPr>
            <w:tcW w:type="dxa" w:w="35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Fonts w:ascii="Times New Roman" w:hAnsi="Times New Roman"/>
                <w:b w:val="1"/>
                <w:bCs w:val="1"/>
                <w:sz w:val="24"/>
                <w:szCs w:val="24"/>
                <w:shd w:val="nil" w:color="auto" w:fill="auto"/>
                <w:rtl w:val="0"/>
                <w:lang w:val="en-US"/>
              </w:rPr>
              <w:t>Category</w:t>
            </w:r>
          </w:p>
        </w:tc>
        <w:tc>
          <w:tcPr>
            <w:tcW w:type="dxa" w:w="696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Fonts w:ascii="Times New Roman" w:hAnsi="Times New Roman"/>
                <w:b w:val="1"/>
                <w:bCs w:val="1"/>
                <w:sz w:val="24"/>
                <w:szCs w:val="24"/>
                <w:shd w:val="nil" w:color="auto" w:fill="auto"/>
                <w:rtl w:val="0"/>
                <w:lang w:val="en-US"/>
              </w:rPr>
              <w:t>Skills</w:t>
            </w:r>
          </w:p>
        </w:tc>
      </w:tr>
      <w:tr>
        <w:tblPrEx>
          <w:shd w:val="clear" w:color="auto" w:fill="cdd4e9"/>
        </w:tblPrEx>
        <w:trPr>
          <w:trHeight w:val="1102" w:hRule="atLeast"/>
        </w:trPr>
        <w:tc>
          <w:tcPr>
            <w:tcW w:type="dxa" w:w="35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Fonts w:ascii="Times New Roman" w:hAnsi="Times New Roman"/>
                <w:b w:val="1"/>
                <w:bCs w:val="1"/>
                <w:sz w:val="20"/>
                <w:szCs w:val="20"/>
                <w:shd w:val="nil" w:color="auto" w:fill="auto"/>
                <w:rtl w:val="0"/>
                <w:lang w:val="en-US"/>
              </w:rPr>
              <w:t>Networking Hardware</w:t>
            </w:r>
          </w:p>
        </w:tc>
        <w:tc>
          <w:tcPr>
            <w:tcW w:type="dxa" w:w="696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Fonts w:ascii="Times New Roman" w:hAnsi="Times New Roman"/>
                <w:sz w:val="20"/>
                <w:szCs w:val="20"/>
                <w:shd w:val="nil" w:color="auto" w:fill="auto"/>
                <w:rtl w:val="0"/>
                <w:lang w:val="en-US"/>
              </w:rPr>
              <w:t>Cisco Nexus 9000/7000/5000 Series, Cisco Catalyst 9500/9400/9300/6800/6500/4500/3850/3750, Cisco ASR 9000/1000, ISR 4000 Series, Juniper MX960/MX480, EX/QFX Series, Aruba CX Switches, Aruba Mobility Controllers, Cisco Wireless LAN Controllers, Cisco Meraki, F5 BIG-IP Load Balancers</w:t>
            </w:r>
          </w:p>
        </w:tc>
      </w:tr>
      <w:tr>
        <w:tblPrEx>
          <w:shd w:val="clear" w:color="auto" w:fill="cdd4e9"/>
        </w:tblPrEx>
        <w:trPr>
          <w:trHeight w:val="882" w:hRule="atLeast"/>
        </w:trPr>
        <w:tc>
          <w:tcPr>
            <w:tcW w:type="dxa" w:w="35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Fonts w:ascii="Times New Roman" w:hAnsi="Times New Roman"/>
                <w:b w:val="1"/>
                <w:bCs w:val="1"/>
                <w:sz w:val="20"/>
                <w:szCs w:val="20"/>
                <w:shd w:val="nil" w:color="auto" w:fill="auto"/>
                <w:rtl w:val="0"/>
                <w:lang w:val="en-US"/>
              </w:rPr>
              <w:t>Features &amp; Services</w:t>
            </w:r>
          </w:p>
        </w:tc>
        <w:tc>
          <w:tcPr>
            <w:tcW w:type="dxa" w:w="696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Fonts w:ascii="Times New Roman" w:hAnsi="Times New Roman"/>
                <w:sz w:val="20"/>
                <w:szCs w:val="20"/>
                <w:shd w:val="nil" w:color="auto" w:fill="auto"/>
                <w:rtl w:val="0"/>
                <w:lang w:val="en-US"/>
              </w:rPr>
              <w:t>VLAN, VTP, STP, RSTP, MSTP, EtherChannel, VPC, HSRP, VRRP, GLBP, QoS, NAT, PAT, DHCP, DNS, IPAM, SNMP, Syslog, TACACS+, RADIUS, NTP, AAA, VPN, IPSec, SSL VPN, 802.1X, Network Segmentation, High Availability, Load Balancing, Traffic Engineering</w:t>
            </w:r>
          </w:p>
        </w:tc>
      </w:tr>
      <w:tr>
        <w:tblPrEx>
          <w:shd w:val="clear" w:color="auto" w:fill="cdd4e9"/>
        </w:tblPrEx>
        <w:trPr>
          <w:trHeight w:val="222" w:hRule="atLeast"/>
        </w:trPr>
        <w:tc>
          <w:tcPr>
            <w:tcW w:type="dxa" w:w="35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Fonts w:ascii="Times New Roman" w:hAnsi="Times New Roman"/>
                <w:b w:val="1"/>
                <w:bCs w:val="1"/>
                <w:sz w:val="20"/>
                <w:szCs w:val="20"/>
                <w:shd w:val="nil" w:color="auto" w:fill="auto"/>
                <w:rtl w:val="0"/>
                <w:lang w:val="en-US"/>
              </w:rPr>
              <w:t>Programming Languages</w:t>
            </w:r>
          </w:p>
        </w:tc>
        <w:tc>
          <w:tcPr>
            <w:tcW w:type="dxa" w:w="696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Fonts w:ascii="Times New Roman" w:hAnsi="Times New Roman"/>
                <w:sz w:val="20"/>
                <w:szCs w:val="20"/>
                <w:shd w:val="nil" w:color="auto" w:fill="auto"/>
                <w:rtl w:val="0"/>
                <w:lang w:val="en-US"/>
              </w:rPr>
              <w:t>Python, Ansible, Terraform, PowerShell, Bash Scripting, REST APIs</w:t>
            </w:r>
          </w:p>
        </w:tc>
      </w:tr>
      <w:tr>
        <w:tblPrEx>
          <w:shd w:val="clear" w:color="auto" w:fill="cdd4e9"/>
        </w:tblPrEx>
        <w:trPr>
          <w:trHeight w:val="442" w:hRule="atLeast"/>
        </w:trPr>
        <w:tc>
          <w:tcPr>
            <w:tcW w:type="dxa" w:w="35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Fonts w:ascii="Times New Roman" w:hAnsi="Times New Roman"/>
                <w:b w:val="1"/>
                <w:bCs w:val="1"/>
                <w:sz w:val="20"/>
                <w:szCs w:val="20"/>
                <w:shd w:val="nil" w:color="auto" w:fill="auto"/>
                <w:rtl w:val="0"/>
                <w:lang w:val="en-US"/>
              </w:rPr>
              <w:t>Routing Protocols</w:t>
            </w:r>
          </w:p>
        </w:tc>
        <w:tc>
          <w:tcPr>
            <w:tcW w:type="dxa" w:w="696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Fonts w:ascii="Times New Roman" w:hAnsi="Times New Roman"/>
                <w:sz w:val="20"/>
                <w:szCs w:val="20"/>
                <w:shd w:val="nil" w:color="auto" w:fill="auto"/>
                <w:rtl w:val="0"/>
                <w:lang w:val="en-US"/>
              </w:rPr>
              <w:t>BGP, OSPF, EIGRP, IS-IS, RIP v1/v2, MPLS, MP-BGP, EVPN-VXLAN, VRF, Multicast, Policy-Based Routing (PBR)</w:t>
            </w:r>
          </w:p>
        </w:tc>
      </w:tr>
      <w:tr>
        <w:tblPrEx>
          <w:shd w:val="clear" w:color="auto" w:fill="cdd4e9"/>
        </w:tblPrEx>
        <w:trPr>
          <w:trHeight w:val="442" w:hRule="atLeast"/>
        </w:trPr>
        <w:tc>
          <w:tcPr>
            <w:tcW w:type="dxa" w:w="35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Fonts w:ascii="Times New Roman" w:hAnsi="Times New Roman"/>
                <w:b w:val="1"/>
                <w:bCs w:val="1"/>
                <w:sz w:val="20"/>
                <w:szCs w:val="20"/>
                <w:shd w:val="nil" w:color="auto" w:fill="auto"/>
                <w:rtl w:val="0"/>
                <w:lang w:val="en-US"/>
              </w:rPr>
              <w:t>Firewalls</w:t>
            </w:r>
          </w:p>
        </w:tc>
        <w:tc>
          <w:tcPr>
            <w:tcW w:type="dxa" w:w="696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Fonts w:ascii="Times New Roman" w:hAnsi="Times New Roman"/>
                <w:sz w:val="20"/>
                <w:szCs w:val="20"/>
                <w:shd w:val="nil" w:color="auto" w:fill="auto"/>
                <w:rtl w:val="0"/>
                <w:lang w:val="en-US"/>
              </w:rPr>
              <w:t>Palo Alto NGFW, Fortinet FortiGate, Cisco ASA, Cisco Firepower, Checkpoint NGFW, Juniper SRX, Cisco ISE, Network Access Control (NAC)</w:t>
            </w:r>
          </w:p>
        </w:tc>
      </w:tr>
      <w:tr>
        <w:tblPrEx>
          <w:shd w:val="clear" w:color="auto" w:fill="cdd4e9"/>
        </w:tblPrEx>
        <w:trPr>
          <w:trHeight w:val="662" w:hRule="atLeast"/>
        </w:trPr>
        <w:tc>
          <w:tcPr>
            <w:tcW w:type="dxa" w:w="35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Fonts w:ascii="Times New Roman" w:hAnsi="Times New Roman"/>
                <w:b w:val="1"/>
                <w:bCs w:val="1"/>
                <w:sz w:val="20"/>
                <w:szCs w:val="20"/>
                <w:shd w:val="nil" w:color="auto" w:fill="auto"/>
                <w:rtl w:val="0"/>
                <w:lang w:val="en-US"/>
              </w:rPr>
              <w:t>Network Monitoring</w:t>
            </w:r>
          </w:p>
        </w:tc>
        <w:tc>
          <w:tcPr>
            <w:tcW w:type="dxa" w:w="696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Fonts w:ascii="Times New Roman" w:hAnsi="Times New Roman"/>
                <w:sz w:val="20"/>
                <w:szCs w:val="20"/>
                <w:shd w:val="nil" w:color="auto" w:fill="auto"/>
                <w:rtl w:val="0"/>
                <w:lang w:val="en-US"/>
              </w:rPr>
              <w:t>SolarWinds NPM, ThousandEyes, NetFlow Analyzer, Wireshark, Infoblox, Cisco Prime Infrastructure, SNMP Monitoring, Syslog Servers, Network Performance Monitoring Tools</w:t>
            </w:r>
          </w:p>
        </w:tc>
      </w:tr>
      <w:tr>
        <w:tblPrEx>
          <w:shd w:val="clear" w:color="auto" w:fill="cdd4e9"/>
        </w:tblPrEx>
        <w:trPr>
          <w:trHeight w:val="222" w:hRule="atLeast"/>
        </w:trPr>
        <w:tc>
          <w:tcPr>
            <w:tcW w:type="dxa" w:w="35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Fonts w:ascii="Times New Roman" w:hAnsi="Times New Roman"/>
                <w:b w:val="1"/>
                <w:bCs w:val="1"/>
                <w:sz w:val="20"/>
                <w:szCs w:val="20"/>
                <w:shd w:val="nil" w:color="auto" w:fill="auto"/>
                <w:rtl w:val="0"/>
                <w:lang w:val="en-US"/>
              </w:rPr>
              <w:t>Operating Systems</w:t>
            </w:r>
          </w:p>
        </w:tc>
        <w:tc>
          <w:tcPr>
            <w:tcW w:type="dxa" w:w="696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Fonts w:ascii="Times New Roman" w:hAnsi="Times New Roman"/>
                <w:sz w:val="20"/>
                <w:szCs w:val="20"/>
                <w:shd w:val="nil" w:color="auto" w:fill="auto"/>
                <w:rtl w:val="0"/>
                <w:lang w:val="en-US"/>
              </w:rPr>
              <w:t>Windows Server 2012/2016/2019/2022, Linux (RHEL, CentOS, Ubuntu), UNIX</w:t>
            </w:r>
          </w:p>
        </w:tc>
      </w:tr>
      <w:tr>
        <w:tblPrEx>
          <w:shd w:val="clear" w:color="auto" w:fill="cdd4e9"/>
        </w:tblPrEx>
        <w:trPr>
          <w:trHeight w:val="662" w:hRule="atLeast"/>
        </w:trPr>
        <w:tc>
          <w:tcPr>
            <w:tcW w:type="dxa" w:w="35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Fonts w:ascii="Times New Roman" w:hAnsi="Times New Roman"/>
                <w:b w:val="1"/>
                <w:bCs w:val="1"/>
                <w:sz w:val="20"/>
                <w:szCs w:val="20"/>
                <w:shd w:val="nil" w:color="auto" w:fill="auto"/>
                <w:rtl w:val="0"/>
                <w:lang w:val="en-US"/>
              </w:rPr>
              <w:t>Cloud Technologies</w:t>
            </w:r>
          </w:p>
        </w:tc>
        <w:tc>
          <w:tcPr>
            <w:tcW w:type="dxa" w:w="696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Fonts w:ascii="Times New Roman" w:hAnsi="Times New Roman"/>
                <w:sz w:val="20"/>
                <w:szCs w:val="20"/>
                <w:shd w:val="nil" w:color="auto" w:fill="auto"/>
                <w:rtl w:val="0"/>
                <w:lang w:val="en-US"/>
              </w:rPr>
              <w:t>AWS VPC, AWS Direct Connect, Transit Gateway, Route 53, VPN Gateway, Azure Virtual Network (VNet), Azure ExpressRoute, Azure VPN Gateway, Hybrid Cloud Networking, Multi-Cloud Connectivity</w:t>
            </w:r>
          </w:p>
        </w:tc>
      </w:tr>
      <w:tr>
        <w:tblPrEx>
          <w:shd w:val="clear" w:color="auto" w:fill="cdd4e9"/>
        </w:tblPrEx>
        <w:trPr>
          <w:trHeight w:val="442" w:hRule="atLeast"/>
        </w:trPr>
        <w:tc>
          <w:tcPr>
            <w:tcW w:type="dxa" w:w="35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Fonts w:ascii="Times New Roman" w:hAnsi="Times New Roman"/>
                <w:b w:val="1"/>
                <w:bCs w:val="1"/>
                <w:sz w:val="20"/>
                <w:szCs w:val="20"/>
                <w:shd w:val="nil" w:color="auto" w:fill="auto"/>
                <w:rtl w:val="0"/>
                <w:lang w:val="en-US"/>
              </w:rPr>
              <w:t>Methodologies</w:t>
            </w:r>
          </w:p>
        </w:tc>
        <w:tc>
          <w:tcPr>
            <w:tcW w:type="dxa" w:w="696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Fonts w:ascii="Times New Roman" w:hAnsi="Times New Roman"/>
                <w:sz w:val="20"/>
                <w:szCs w:val="20"/>
                <w:shd w:val="nil" w:color="auto" w:fill="auto"/>
                <w:rtl w:val="0"/>
                <w:lang w:val="en-US"/>
              </w:rPr>
              <w:t>Agile, Scrum, Waterfall, ITIL, SDLC, Change Management, Incident Management, Problem Management, Root Cause Analysis (RCA)</w:t>
            </w:r>
          </w:p>
        </w:tc>
      </w:tr>
      <w:tr>
        <w:tblPrEx>
          <w:shd w:val="clear" w:color="auto" w:fill="cdd4e9"/>
        </w:tblPrEx>
        <w:trPr>
          <w:trHeight w:val="882" w:hRule="atLeast"/>
        </w:trPr>
        <w:tc>
          <w:tcPr>
            <w:tcW w:type="dxa" w:w="35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Fonts w:ascii="Times New Roman" w:hAnsi="Times New Roman"/>
                <w:b w:val="1"/>
                <w:bCs w:val="1"/>
                <w:sz w:val="20"/>
                <w:szCs w:val="20"/>
                <w:shd w:val="nil" w:color="auto" w:fill="auto"/>
                <w:rtl w:val="0"/>
                <w:lang w:val="en-US"/>
              </w:rPr>
              <w:t>Networking Technologies</w:t>
            </w:r>
          </w:p>
        </w:tc>
        <w:tc>
          <w:tcPr>
            <w:tcW w:type="dxa" w:w="696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Fonts w:ascii="Times New Roman" w:hAnsi="Times New Roman"/>
                <w:sz w:val="20"/>
                <w:szCs w:val="20"/>
                <w:shd w:val="nil" w:color="auto" w:fill="auto"/>
                <w:rtl w:val="0"/>
                <w:lang w:val="en-US"/>
              </w:rPr>
              <w:t>LAN, WAN, WLAN, SD-WAN, MPLS, Metro Ethernet, Data Center Networking, Spine-Leaf Architecture, EVPN-VXLAN, Cloud Networking, Hybrid Networking, Network Virtualization, Wireless Networking, Carrier Networks, Enterprise Routing &amp; Switching, Disaster Recovery, Business Continuity Planning</w:t>
            </w:r>
          </w:p>
        </w:tc>
      </w:tr>
    </w:tbl>
    <w:p>
      <w:pPr>
        <w:pStyle w:val="Body"/>
        <w:widowControl w:val="0"/>
        <w:spacing w:after="0" w:line="240" w:lineRule="auto"/>
        <w:rPr>
          <w:rFonts w:ascii="Times New Roman" w:cs="Times New Roman" w:hAnsi="Times New Roman" w:eastAsia="Times New Roman"/>
          <w:b w:val="1"/>
          <w:bCs w:val="1"/>
          <w:outline w:val="0"/>
          <w:color w:val="000000"/>
          <w:sz w:val="24"/>
          <w:szCs w:val="24"/>
          <w:u w:color="000000"/>
          <w14:textFill>
            <w14:solidFill>
              <w14:srgbClr w14:val="000000"/>
            </w14:solidFill>
          </w14:textFill>
        </w:rPr>
      </w:pPr>
    </w:p>
    <w:p>
      <w:pPr>
        <w:pStyle w:val="Body"/>
        <w:spacing w:after="0" w:line="240" w:lineRule="auto"/>
        <w:rPr>
          <w:rFonts w:ascii="Times New Roman" w:cs="Times New Roman" w:hAnsi="Times New Roman" w:eastAsia="Times New Roman"/>
          <w:outline w:val="0"/>
          <w:color w:val="000000"/>
          <w:sz w:val="24"/>
          <w:szCs w:val="24"/>
          <w:u w:color="000000"/>
          <w14:textFill>
            <w14:solidFill>
              <w14:srgbClr w14:val="000000"/>
            </w14:solidFill>
          </w14:textFill>
        </w:rPr>
      </w:pPr>
    </w:p>
    <w:p>
      <w:pPr>
        <w:pStyle w:val="Body"/>
        <w:spacing w:after="0" w:line="240" w:lineRule="auto"/>
        <w:rPr>
          <w:rFonts w:ascii="Times New Roman" w:cs="Times New Roman" w:hAnsi="Times New Roman" w:eastAsia="Times New Roman"/>
          <w:b w:val="1"/>
          <w:bCs w:val="1"/>
          <w:sz w:val="20"/>
          <w:szCs w:val="20"/>
        </w:rPr>
      </w:pPr>
      <w:r>
        <w:rPr>
          <w:rFonts w:ascii="Times New Roman" w:hAnsi="Times New Roman"/>
          <w:b w:val="1"/>
          <w:bCs w:val="1"/>
          <w:sz w:val="20"/>
          <w:szCs w:val="20"/>
          <w:rtl w:val="0"/>
          <w:lang w:val="en-US"/>
        </w:rPr>
        <w:t>Client: Verizon Communications, CA</w:t>
        <w:tab/>
        <w:tab/>
        <w:tab/>
        <w:tab/>
        <w:tab/>
        <w:tab/>
        <w:t>Feb 2024</w:t>
      </w:r>
      <w:r>
        <w:rPr>
          <w:rFonts w:ascii="Times New Roman" w:hAnsi="Times New Roman" w:hint="default"/>
          <w:b w:val="1"/>
          <w:bCs w:val="1"/>
          <w:sz w:val="20"/>
          <w:szCs w:val="20"/>
          <w:rtl w:val="0"/>
          <w:lang w:val="en-US"/>
        </w:rPr>
        <w:t xml:space="preserve"> – </w:t>
      </w:r>
      <w:r>
        <w:rPr>
          <w:rFonts w:ascii="Times New Roman" w:hAnsi="Times New Roman"/>
          <w:b w:val="1"/>
          <w:bCs w:val="1"/>
          <w:sz w:val="20"/>
          <w:szCs w:val="20"/>
          <w:rtl w:val="0"/>
          <w:lang w:val="it-IT"/>
        </w:rPr>
        <w:t>Present</w:t>
      </w:r>
    </w:p>
    <w:p>
      <w:pPr>
        <w:pStyle w:val="Body"/>
        <w:spacing w:after="0" w:line="240" w:lineRule="auto"/>
        <w:rPr>
          <w:rFonts w:ascii="Times New Roman" w:cs="Times New Roman" w:hAnsi="Times New Roman" w:eastAsia="Times New Roman"/>
          <w:b w:val="1"/>
          <w:bCs w:val="1"/>
          <w:sz w:val="20"/>
          <w:szCs w:val="20"/>
        </w:rPr>
      </w:pPr>
      <w:r>
        <w:rPr>
          <w:rFonts w:ascii="Times New Roman" w:hAnsi="Times New Roman"/>
          <w:b w:val="1"/>
          <w:bCs w:val="1"/>
          <w:sz w:val="20"/>
          <w:szCs w:val="20"/>
          <w:rtl w:val="0"/>
          <w:lang w:val="it-IT"/>
        </w:rPr>
        <w:t xml:space="preserve">Role: </w:t>
      </w:r>
      <w:r>
        <w:rPr>
          <w:rFonts w:ascii="Times New Roman" w:hAnsi="Times New Roman"/>
          <w:sz w:val="20"/>
          <w:szCs w:val="20"/>
          <w:rtl w:val="0"/>
          <w:lang w:val="en-US"/>
        </w:rPr>
        <w:t>Senior Network Engineer</w:t>
      </w:r>
    </w:p>
    <w:p>
      <w:pPr>
        <w:pStyle w:val="Body"/>
        <w:spacing w:after="0" w:line="240" w:lineRule="auto"/>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en-US"/>
        </w:rPr>
        <w:t xml:space="preserve">Responsibilities: </w:t>
      </w:r>
    </w:p>
    <w:p>
      <w:pPr>
        <w:pStyle w:val="Body"/>
        <w:numPr>
          <w:ilvl w:val="0"/>
          <w:numId w:val="6"/>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Designed and implemented carrier-grade network infrastructure utilizing Cisco ASR, Nexus, Catalyst, and Juniper MX platforms supporting nationwide telecommunications services.</w:t>
      </w:r>
    </w:p>
    <w:p>
      <w:pPr>
        <w:pStyle w:val="Body"/>
        <w:numPr>
          <w:ilvl w:val="0"/>
          <w:numId w:val="6"/>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Managed large-scale MPLS backbone networks supporting enterprise, mobile, and broadband customer traffic across multiple regions.</w:t>
      </w:r>
    </w:p>
    <w:p>
      <w:pPr>
        <w:pStyle w:val="Body"/>
        <w:numPr>
          <w:ilvl w:val="0"/>
          <w:numId w:val="6"/>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Configured and maintained BGP route reflectors, route policies, MPLS VPNs, EVPN, and advanced routing architectures ensuring optimal traffic flow and network resiliency.</w:t>
      </w:r>
    </w:p>
    <w:p>
      <w:pPr>
        <w:pStyle w:val="Body"/>
        <w:numPr>
          <w:ilvl w:val="0"/>
          <w:numId w:val="6"/>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Administered Cisco Viptela SD-WAN environments supporting secure branch connectivity and application-aware routing across distributed enterprise locations.</w:t>
      </w:r>
    </w:p>
    <w:p>
      <w:pPr>
        <w:pStyle w:val="Body"/>
        <w:numPr>
          <w:ilvl w:val="0"/>
          <w:numId w:val="6"/>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Managed Palo Alto, Fortinet, and Cisco Firepower security platforms enforcing enterprise security policies and threat prevention controls.</w:t>
      </w:r>
    </w:p>
    <w:p>
      <w:pPr>
        <w:pStyle w:val="Body"/>
        <w:numPr>
          <w:ilvl w:val="0"/>
          <w:numId w:val="6"/>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Implemented high-availability solutions utilizing HSRP, VRRP, EtherChannel, and Multi-Chassis LAG technologies.</w:t>
      </w:r>
    </w:p>
    <w:p>
      <w:pPr>
        <w:pStyle w:val="Body"/>
        <w:numPr>
          <w:ilvl w:val="0"/>
          <w:numId w:val="6"/>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Configured QoS policies prioritizing voice, video, and latency-sensitive business applications across WAN environments.</w:t>
      </w:r>
    </w:p>
    <w:p>
      <w:pPr>
        <w:pStyle w:val="Body"/>
        <w:numPr>
          <w:ilvl w:val="0"/>
          <w:numId w:val="6"/>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Supported AWS Direct Connect and Azure ExpressRoute deployments integrating cloud workloads with enterprise infrastructure.</w:t>
      </w:r>
    </w:p>
    <w:p>
      <w:pPr>
        <w:pStyle w:val="Body"/>
        <w:numPr>
          <w:ilvl w:val="0"/>
          <w:numId w:val="6"/>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Performed network automation utilizing Python, Ansible, and REST APIs to streamline provisioning and compliance validation.</w:t>
      </w:r>
    </w:p>
    <w:p>
      <w:pPr>
        <w:pStyle w:val="Body"/>
        <w:numPr>
          <w:ilvl w:val="0"/>
          <w:numId w:val="6"/>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Managed enterprise DNS, DHCP, TACACS+, RADIUS, and IPAM solutions supporting operational consistency.</w:t>
      </w:r>
    </w:p>
    <w:p>
      <w:pPr>
        <w:pStyle w:val="Body"/>
        <w:numPr>
          <w:ilvl w:val="0"/>
          <w:numId w:val="6"/>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Supported Cisco ISE deployments enabling network access control and identity-based policy enforcement.</w:t>
      </w:r>
    </w:p>
    <w:p>
      <w:pPr>
        <w:pStyle w:val="Body"/>
        <w:numPr>
          <w:ilvl w:val="0"/>
          <w:numId w:val="6"/>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Conducted packet analysis and troubleshooting utilizing Wireshark, NetFlow, ThousandEyes, and SolarWinds.</w:t>
      </w:r>
    </w:p>
    <w:p>
      <w:pPr>
        <w:pStyle w:val="Body"/>
        <w:numPr>
          <w:ilvl w:val="0"/>
          <w:numId w:val="6"/>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Performed software upgrades, firmware lifecycle management, and vulnerability remediation across network infrastructure.</w:t>
      </w:r>
    </w:p>
    <w:p>
      <w:pPr>
        <w:pStyle w:val="Body"/>
        <w:numPr>
          <w:ilvl w:val="0"/>
          <w:numId w:val="6"/>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Supported disaster recovery planning, failover testing, and business continuity initiatives.</w:t>
      </w:r>
    </w:p>
    <w:p>
      <w:pPr>
        <w:pStyle w:val="Body"/>
        <w:numPr>
          <w:ilvl w:val="0"/>
          <w:numId w:val="6"/>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Collaborated with engineering teams to troubleshoot complex routing, switching, and security-related incidents.</w:t>
      </w:r>
    </w:p>
    <w:p>
      <w:pPr>
        <w:pStyle w:val="Body"/>
        <w:numPr>
          <w:ilvl w:val="0"/>
          <w:numId w:val="6"/>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Implemented EVPN-VXLAN overlays supporting large-scale network virtualization initiatives.</w:t>
      </w:r>
    </w:p>
    <w:p>
      <w:pPr>
        <w:pStyle w:val="Body"/>
        <w:numPr>
          <w:ilvl w:val="0"/>
          <w:numId w:val="6"/>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Managed Cisco ACI policy-based networking environments supporting application-centric connectivity.</w:t>
      </w:r>
    </w:p>
    <w:p>
      <w:pPr>
        <w:pStyle w:val="Body"/>
        <w:numPr>
          <w:ilvl w:val="0"/>
          <w:numId w:val="6"/>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Performed route optimization and traffic engineering across carrier-grade MPLS networks.</w:t>
      </w:r>
    </w:p>
    <w:p>
      <w:pPr>
        <w:pStyle w:val="Body"/>
        <w:numPr>
          <w:ilvl w:val="0"/>
          <w:numId w:val="6"/>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Supported 5G transport network connectivity and infrastructure modernization programs.</w:t>
      </w:r>
    </w:p>
    <w:p>
      <w:pPr>
        <w:pStyle w:val="Body"/>
        <w:numPr>
          <w:ilvl w:val="0"/>
          <w:numId w:val="6"/>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Integrated network telemetry and analytics solutions improving operational visibility.</w:t>
      </w:r>
    </w:p>
    <w:p>
      <w:pPr>
        <w:pStyle w:val="Body"/>
        <w:spacing w:after="0" w:line="240" w:lineRule="auto"/>
        <w:rPr>
          <w:rFonts w:ascii="Times New Roman" w:cs="Times New Roman" w:hAnsi="Times New Roman" w:eastAsia="Times New Roman"/>
          <w:b w:val="1"/>
          <w:bCs w:val="1"/>
          <w:sz w:val="20"/>
          <w:szCs w:val="20"/>
        </w:rPr>
      </w:pPr>
      <w:r>
        <w:rPr>
          <w:rFonts w:ascii="Times New Roman" w:hAnsi="Times New Roman"/>
          <w:b w:val="1"/>
          <w:bCs w:val="1"/>
          <w:sz w:val="20"/>
          <w:szCs w:val="20"/>
          <w:rtl w:val="0"/>
          <w:lang w:val="en-US"/>
        </w:rPr>
        <w:t>Business Impact</w:t>
      </w:r>
    </w:p>
    <w:p>
      <w:pPr>
        <w:pStyle w:val="List Paragraph"/>
        <w:numPr>
          <w:ilvl w:val="0"/>
          <w:numId w:val="8"/>
        </w:numPr>
        <w:bidi w:val="0"/>
        <w:ind w:right="0"/>
        <w:jc w:val="left"/>
        <w:rPr>
          <w:rFonts w:ascii="Times New Roman" w:hAnsi="Times New Roman"/>
          <w:sz w:val="20"/>
          <w:szCs w:val="20"/>
          <w:rtl w:val="0"/>
          <w:lang w:val="en-US"/>
        </w:rPr>
      </w:pPr>
      <w:r>
        <w:rPr>
          <w:rFonts w:ascii="Times New Roman" w:hAnsi="Times New Roman"/>
          <w:sz w:val="20"/>
          <w:szCs w:val="20"/>
          <w:rtl w:val="0"/>
          <w:lang w:val="en-US"/>
        </w:rPr>
        <w:t>Improved network availability from 99.8% to 99.99% across critical telecommunications infrastructure.</w:t>
      </w:r>
    </w:p>
    <w:p>
      <w:pPr>
        <w:pStyle w:val="List Paragraph"/>
        <w:numPr>
          <w:ilvl w:val="0"/>
          <w:numId w:val="8"/>
        </w:numPr>
        <w:bidi w:val="0"/>
        <w:ind w:right="0"/>
        <w:jc w:val="left"/>
        <w:rPr>
          <w:rFonts w:ascii="Times New Roman" w:hAnsi="Times New Roman"/>
          <w:sz w:val="20"/>
          <w:szCs w:val="20"/>
          <w:rtl w:val="0"/>
          <w:lang w:val="en-US"/>
        </w:rPr>
      </w:pPr>
      <w:r>
        <w:rPr>
          <w:rFonts w:ascii="Times New Roman" w:hAnsi="Times New Roman"/>
          <w:sz w:val="20"/>
          <w:szCs w:val="20"/>
          <w:rtl w:val="0"/>
          <w:lang w:val="en-US"/>
        </w:rPr>
        <w:t>Reduced incident resolution times by 40% through proactive monitoring and automation initiatives.</w:t>
      </w:r>
    </w:p>
    <w:p>
      <w:pPr>
        <w:pStyle w:val="List Paragraph"/>
        <w:numPr>
          <w:ilvl w:val="0"/>
          <w:numId w:val="8"/>
        </w:numPr>
        <w:bidi w:val="0"/>
        <w:ind w:right="0"/>
        <w:jc w:val="left"/>
        <w:rPr>
          <w:rFonts w:ascii="Times New Roman" w:hAnsi="Times New Roman"/>
          <w:sz w:val="20"/>
          <w:szCs w:val="20"/>
          <w:rtl w:val="0"/>
          <w:lang w:val="en-US"/>
        </w:rPr>
      </w:pPr>
      <w:r>
        <w:rPr>
          <w:rFonts w:ascii="Times New Roman" w:hAnsi="Times New Roman"/>
          <w:sz w:val="20"/>
          <w:szCs w:val="20"/>
          <w:rtl w:val="0"/>
          <w:lang w:val="en-US"/>
        </w:rPr>
        <w:t>Increased WAN performance by 35% through routing optimization and SD-WAN implementation.</w:t>
      </w:r>
    </w:p>
    <w:p>
      <w:pPr>
        <w:pStyle w:val="List Paragraph"/>
        <w:numPr>
          <w:ilvl w:val="0"/>
          <w:numId w:val="8"/>
        </w:numPr>
        <w:bidi w:val="0"/>
        <w:ind w:right="0"/>
        <w:jc w:val="left"/>
        <w:rPr>
          <w:rFonts w:ascii="Times New Roman" w:hAnsi="Times New Roman"/>
          <w:sz w:val="20"/>
          <w:szCs w:val="20"/>
          <w:rtl w:val="0"/>
          <w:lang w:val="en-US"/>
        </w:rPr>
      </w:pPr>
      <w:r>
        <w:rPr>
          <w:rFonts w:ascii="Times New Roman" w:hAnsi="Times New Roman"/>
          <w:sz w:val="20"/>
          <w:szCs w:val="20"/>
          <w:rtl w:val="0"/>
          <w:lang w:val="en-US"/>
        </w:rPr>
        <w:t>Reduced provisioning effort by 60% through network automation and standardization programs.</w:t>
      </w:r>
    </w:p>
    <w:p>
      <w:pPr>
        <w:pStyle w:val="List Paragraph"/>
        <w:numPr>
          <w:ilvl w:val="0"/>
          <w:numId w:val="8"/>
        </w:numPr>
        <w:bidi w:val="0"/>
        <w:ind w:right="0"/>
        <w:jc w:val="left"/>
        <w:rPr>
          <w:rFonts w:ascii="Times New Roman" w:hAnsi="Times New Roman"/>
          <w:sz w:val="20"/>
          <w:szCs w:val="20"/>
          <w:rtl w:val="0"/>
          <w:lang w:val="en-US"/>
        </w:rPr>
      </w:pPr>
      <w:r>
        <w:rPr>
          <w:rFonts w:ascii="Times New Roman" w:hAnsi="Times New Roman"/>
          <w:sz w:val="20"/>
          <w:szCs w:val="20"/>
          <w:rtl w:val="0"/>
          <w:lang w:val="en-US"/>
        </w:rPr>
        <w:t>Supported infrastructure serving millions of customer transactions and communications daily.</w:t>
      </w:r>
    </w:p>
    <w:p>
      <w:pPr>
        <w:pStyle w:val="Body"/>
        <w:spacing w:after="0" w:line="240" w:lineRule="auto"/>
        <w:rPr>
          <w:rFonts w:ascii="Times New Roman" w:cs="Times New Roman" w:hAnsi="Times New Roman" w:eastAsia="Times New Roman"/>
          <w:b w:val="1"/>
          <w:bCs w:val="1"/>
          <w:sz w:val="20"/>
          <w:szCs w:val="20"/>
        </w:rPr>
      </w:pPr>
      <w:r>
        <w:rPr>
          <w:rFonts w:ascii="Times New Roman" w:hAnsi="Times New Roman"/>
          <w:b w:val="1"/>
          <w:bCs w:val="1"/>
          <w:sz w:val="20"/>
          <w:szCs w:val="20"/>
          <w:rtl w:val="0"/>
          <w:lang w:val="fr-FR"/>
        </w:rPr>
        <w:t>Environment :</w:t>
      </w:r>
    </w:p>
    <w:p>
      <w:pPr>
        <w:pStyle w:val="Body"/>
        <w:spacing w:after="0" w:line="240" w:lineRule="auto"/>
        <w:rPr>
          <w:rFonts w:ascii="Times New Roman" w:cs="Times New Roman" w:hAnsi="Times New Roman" w:eastAsia="Times New Roman"/>
          <w:sz w:val="20"/>
          <w:szCs w:val="20"/>
        </w:rPr>
      </w:pPr>
      <w:r>
        <w:rPr>
          <w:rFonts w:ascii="Times New Roman" w:hAnsi="Times New Roman"/>
          <w:sz w:val="20"/>
          <w:szCs w:val="20"/>
          <w:rtl w:val="0"/>
          <w:lang w:val="en-US"/>
        </w:rPr>
        <w:t>Cisco ASR 9000, Cisco Catalyst 9500/9400/9300, Cisco Nexus 9000/7000, Juniper MX960, MX480, QFX Series, Cisco Viptela SD-WAN, MPLS L3VPN, EVPN-VXLAN, BGP, OSPF, IS-IS, QoS, Cisco ISE, Palo Alto Firewalls, Fortinet Firewalls, Cisco Firepower, F5 BIG-IP LTM/GTM, AWS Direct Connect, Azure ExpressRoute, Cisco Prime, SolarWinds, ThousandEyes, Infoblox, Wireshark, NetFlow, Python, Ansible, Terraform, Linux, DNS, DHCP, TACACS+, RADIUS, SNMP, Syslog, REST APIs.</w:t>
      </w:r>
    </w:p>
    <w:p>
      <w:pPr>
        <w:pStyle w:val="Body"/>
        <w:spacing w:after="0" w:line="240" w:lineRule="auto"/>
        <w:rPr>
          <w:rFonts w:ascii="Times New Roman" w:cs="Times New Roman" w:hAnsi="Times New Roman" w:eastAsia="Times New Roman"/>
          <w:sz w:val="24"/>
          <w:szCs w:val="24"/>
        </w:rPr>
      </w:pPr>
      <w:r>
        <mc:AlternateContent>
          <mc:Choice Requires="wps">
            <w:drawing xmlns:a="http://schemas.openxmlformats.org/drawingml/2006/main">
              <wp:inline distT="0" distB="0" distL="0" distR="0">
                <wp:extent cx="5943600" cy="19050"/>
                <wp:effectExtent l="0" t="0" r="0" b="0"/>
                <wp:docPr id="1073741825" name="officeArt object" descr="Rectangle"/>
                <wp:cNvGraphicFramePr/>
                <a:graphic xmlns:a="http://schemas.openxmlformats.org/drawingml/2006/main">
                  <a:graphicData uri="http://schemas.microsoft.com/office/word/2010/wordprocessingShape">
                    <wps:wsp>
                      <wps:cNvSpPr/>
                      <wps:spPr>
                        <a:xfrm>
                          <a:off x="0" y="0"/>
                          <a:ext cx="5943600" cy="19050"/>
                        </a:xfrm>
                        <a:prstGeom prst="rect">
                          <a:avLst/>
                        </a:prstGeom>
                        <a:solidFill>
                          <a:srgbClr val="A0A0A0"/>
                        </a:solidFill>
                        <a:ln w="12700" cap="flat">
                          <a:noFill/>
                          <a:miter lim="400000"/>
                        </a:ln>
                        <a:effectLst/>
                      </wps:spPr>
                      <wps:bodyPr/>
                    </wps:wsp>
                  </a:graphicData>
                </a:graphic>
              </wp:inline>
            </w:drawing>
          </mc:Choice>
          <mc:Fallback>
            <w:pict>
              <v:rect id="_x0000_s1026" style="visibility:visible;width:468.0pt;height:1.5pt;">
                <v:fill color="#A0A0A0" opacity="100.0%" type="solid"/>
                <v:stroke on="f" weight="1.0pt" dashstyle="solid" endcap="flat" miterlimit="400.0%" joinstyle="miter" linestyle="single" startarrow="none" startarrowwidth="medium" startarrowlength="medium" endarrow="none" endarrowwidth="medium" endarrowlength="medium"/>
              </v:rect>
            </w:pict>
          </mc:Fallback>
        </mc:AlternateContent>
      </w:r>
    </w:p>
    <w:p>
      <w:pPr>
        <w:pStyle w:val="Body"/>
        <w:spacing w:before="240" w:after="240" w:line="240" w:lineRule="auto"/>
        <w:rPr>
          <w:rFonts w:ascii="Times New Roman" w:cs="Times New Roman" w:hAnsi="Times New Roman" w:eastAsia="Times New Roman"/>
          <w:sz w:val="20"/>
          <w:szCs w:val="20"/>
        </w:rPr>
      </w:pPr>
      <w:r>
        <w:rPr>
          <w:rFonts w:ascii="Times New Roman" w:hAnsi="Times New Roman"/>
          <w:b w:val="1"/>
          <w:bCs w:val="1"/>
          <w:sz w:val="20"/>
          <w:szCs w:val="20"/>
          <w:rtl w:val="0"/>
          <w:lang w:val="en-US"/>
        </w:rPr>
        <w:t>Client:</w:t>
      </w:r>
      <w:r>
        <w:rPr>
          <w:rFonts w:ascii="Times New Roman" w:hAnsi="Times New Roman"/>
          <w:sz w:val="20"/>
          <w:szCs w:val="20"/>
          <w:rtl w:val="0"/>
        </w:rPr>
        <w:t xml:space="preserve"> </w:t>
      </w:r>
      <w:r>
        <w:rPr>
          <w:rFonts w:ascii="Times New Roman" w:hAnsi="Times New Roman"/>
          <w:b w:val="1"/>
          <w:bCs w:val="1"/>
          <w:sz w:val="20"/>
          <w:szCs w:val="20"/>
          <w:rtl w:val="0"/>
          <w:lang w:val="en-US"/>
        </w:rPr>
        <w:t>JPMorgan Chase, NY</w:t>
      </w:r>
      <w:r>
        <w:rPr>
          <w:rFonts w:ascii="Times New Roman" w:cs="Times New Roman" w:hAnsi="Times New Roman" w:eastAsia="Times New Roman"/>
          <w:sz w:val="20"/>
          <w:szCs w:val="20"/>
        </w:rPr>
        <w:tab/>
        <w:tab/>
        <w:tab/>
        <w:tab/>
        <w:tab/>
        <w:tab/>
      </w:r>
      <w:r>
        <w:rPr>
          <w:rFonts w:ascii="Times New Roman" w:hAnsi="Times New Roman"/>
          <w:b w:val="1"/>
          <w:bCs w:val="1"/>
          <w:sz w:val="20"/>
          <w:szCs w:val="20"/>
          <w:rtl w:val="0"/>
        </w:rPr>
        <w:t>Jul 2021</w:t>
      </w:r>
      <w:r>
        <w:rPr>
          <w:rFonts w:ascii="Times New Roman" w:hAnsi="Times New Roman" w:hint="default"/>
          <w:b w:val="1"/>
          <w:bCs w:val="1"/>
          <w:sz w:val="20"/>
          <w:szCs w:val="20"/>
          <w:rtl w:val="0"/>
          <w:lang w:val="en-US"/>
        </w:rPr>
        <w:t xml:space="preserve"> – </w:t>
      </w:r>
      <w:r>
        <w:rPr>
          <w:rFonts w:ascii="Times New Roman" w:hAnsi="Times New Roman"/>
          <w:b w:val="1"/>
          <w:bCs w:val="1"/>
          <w:sz w:val="20"/>
          <w:szCs w:val="20"/>
          <w:rtl w:val="0"/>
          <w:lang w:val="en-US"/>
        </w:rPr>
        <w:t>Jan 2024</w:t>
      </w:r>
      <w:r>
        <w:rPr>
          <w:rFonts w:ascii="Times New Roman" w:cs="Times New Roman" w:hAnsi="Times New Roman" w:eastAsia="Times New Roman"/>
          <w:b w:val="1"/>
          <w:bCs w:val="1"/>
          <w:sz w:val="20"/>
          <w:szCs w:val="20"/>
        </w:rPr>
        <w:br w:type="textWrapping"/>
      </w:r>
      <w:r>
        <w:rPr>
          <w:rFonts w:ascii="Times New Roman" w:hAnsi="Times New Roman"/>
          <w:b w:val="1"/>
          <w:bCs w:val="1"/>
          <w:sz w:val="20"/>
          <w:szCs w:val="20"/>
          <w:rtl w:val="0"/>
          <w:lang w:val="it-IT"/>
        </w:rPr>
        <w:t>Role:</w:t>
      </w:r>
      <w:r>
        <w:rPr>
          <w:rFonts w:ascii="Times New Roman" w:hAnsi="Times New Roman"/>
          <w:sz w:val="20"/>
          <w:szCs w:val="20"/>
          <w:rtl w:val="0"/>
          <w:lang w:val="en-US"/>
        </w:rPr>
        <w:t xml:space="preserve"> Senior Network Engineer</w:t>
      </w:r>
    </w:p>
    <w:p>
      <w:pPr>
        <w:pStyle w:val="Body"/>
        <w:spacing w:before="240" w:after="240" w:line="240" w:lineRule="auto"/>
        <w:rPr>
          <w:rFonts w:ascii="Times New Roman" w:cs="Times New Roman" w:hAnsi="Times New Roman" w:eastAsia="Times New Roman"/>
          <w:b w:val="1"/>
          <w:bCs w:val="1"/>
        </w:rPr>
      </w:pPr>
      <w:r>
        <w:rPr>
          <w:rFonts w:ascii="Times New Roman" w:hAnsi="Times New Roman"/>
          <w:b w:val="1"/>
          <w:bCs w:val="1"/>
          <w:rtl w:val="0"/>
          <w:lang w:val="en-US"/>
        </w:rPr>
        <w:t xml:space="preserve">Responsibilities: </w:t>
      </w:r>
    </w:p>
    <w:p>
      <w:pPr>
        <w:pStyle w:val="List Paragraph"/>
        <w:numPr>
          <w:ilvl w:val="0"/>
          <w:numId w:val="10"/>
        </w:numPr>
        <w:bidi w:val="0"/>
        <w:spacing w:before="240"/>
        <w:ind w:right="0"/>
        <w:jc w:val="left"/>
        <w:rPr>
          <w:rFonts w:ascii="Times New Roman" w:hAnsi="Times New Roman"/>
          <w:sz w:val="20"/>
          <w:szCs w:val="20"/>
          <w:rtl w:val="0"/>
          <w:lang w:val="en-US"/>
        </w:rPr>
      </w:pPr>
      <w:r>
        <w:rPr>
          <w:rFonts w:ascii="Times New Roman" w:hAnsi="Times New Roman"/>
          <w:sz w:val="20"/>
          <w:szCs w:val="20"/>
          <w:rtl w:val="0"/>
          <w:lang w:val="en-US"/>
        </w:rPr>
        <w:t>Managed enterprise banking networks supporting thousands of branch locations, payment gateways, ATM infrastructure, and online banking platforms.</w:t>
      </w:r>
    </w:p>
    <w:p>
      <w:pPr>
        <w:pStyle w:val="List Paragraph"/>
        <w:numPr>
          <w:ilvl w:val="0"/>
          <w:numId w:val="10"/>
        </w:numPr>
        <w:bidi w:val="0"/>
        <w:spacing w:before="240"/>
        <w:ind w:right="0"/>
        <w:jc w:val="left"/>
        <w:rPr>
          <w:rFonts w:ascii="Times New Roman" w:hAnsi="Times New Roman"/>
          <w:sz w:val="20"/>
          <w:szCs w:val="20"/>
          <w:rtl w:val="0"/>
          <w:lang w:val="en-US"/>
        </w:rPr>
      </w:pPr>
      <w:r>
        <w:rPr>
          <w:rFonts w:ascii="Times New Roman" w:hAnsi="Times New Roman"/>
          <w:sz w:val="20"/>
          <w:szCs w:val="20"/>
          <w:rtl w:val="0"/>
          <w:lang w:val="en-US"/>
        </w:rPr>
        <w:t>Configured and maintained BGP, OSPF, MPLS, EIGRP, and VRF environments supporting secure banking operations.</w:t>
      </w:r>
    </w:p>
    <w:p>
      <w:pPr>
        <w:pStyle w:val="Body"/>
        <w:numPr>
          <w:ilvl w:val="0"/>
          <w:numId w:val="10"/>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Administered Cisco Nexus, Catalyst, ASR, and ISR platforms across banking data centers and regional facilities.</w:t>
      </w:r>
    </w:p>
    <w:p>
      <w:pPr>
        <w:pStyle w:val="Body"/>
        <w:numPr>
          <w:ilvl w:val="0"/>
          <w:numId w:val="10"/>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Managed Palo Alto, Checkpoint, Cisco ASA, and Firepower security platforms supporting financial regulatory requirements.</w:t>
      </w:r>
    </w:p>
    <w:p>
      <w:pPr>
        <w:pStyle w:val="Body"/>
        <w:numPr>
          <w:ilvl w:val="0"/>
          <w:numId w:val="10"/>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Implemented secure IPSec and SSL VPN solutions enabling encrypted communications across distributed banking environments.</w:t>
      </w:r>
    </w:p>
    <w:p>
      <w:pPr>
        <w:pStyle w:val="Body"/>
        <w:numPr>
          <w:ilvl w:val="0"/>
          <w:numId w:val="10"/>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Supported Cisco ISE deployments enforcing access controls, device authentication, and compliance policies.</w:t>
      </w:r>
    </w:p>
    <w:p>
      <w:pPr>
        <w:pStyle w:val="Body"/>
        <w:numPr>
          <w:ilvl w:val="0"/>
          <w:numId w:val="10"/>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Configured F5 BIG-IP Load Balancers supporting high-volume financial applications and transaction processing systems.</w:t>
      </w:r>
    </w:p>
    <w:p>
      <w:pPr>
        <w:pStyle w:val="Body"/>
        <w:numPr>
          <w:ilvl w:val="0"/>
          <w:numId w:val="10"/>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Managed SD-WAN deployment projects improving branch connectivity and reducing WAN costs.</w:t>
      </w:r>
    </w:p>
    <w:p>
      <w:pPr>
        <w:pStyle w:val="Body"/>
        <w:numPr>
          <w:ilvl w:val="0"/>
          <w:numId w:val="10"/>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Administered DNS, DHCP, and IPAM services utilizing Infoblox platforms.</w:t>
      </w:r>
    </w:p>
    <w:p>
      <w:pPr>
        <w:pStyle w:val="Body"/>
        <w:numPr>
          <w:ilvl w:val="0"/>
          <w:numId w:val="10"/>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Conducted firewall policy reviews and vulnerability remediation activities supporting PCI-DSS compliance.</w:t>
      </w:r>
    </w:p>
    <w:p>
      <w:pPr>
        <w:pStyle w:val="Body"/>
        <w:numPr>
          <w:ilvl w:val="0"/>
          <w:numId w:val="10"/>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Implemented high-availability technologies including HSRP, VRRP, and redundant WAN architectures.</w:t>
      </w:r>
    </w:p>
    <w:p>
      <w:pPr>
        <w:pStyle w:val="Body"/>
        <w:numPr>
          <w:ilvl w:val="0"/>
          <w:numId w:val="10"/>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Supported cloud integration initiatives utilizing AWS Direct Connect and Azure ExpressRoute services.</w:t>
      </w:r>
    </w:p>
    <w:p>
      <w:pPr>
        <w:pStyle w:val="Body"/>
        <w:numPr>
          <w:ilvl w:val="0"/>
          <w:numId w:val="10"/>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Performed advanced troubleshooting and root cause analysis for critical banking application outages.</w:t>
      </w:r>
    </w:p>
    <w:p>
      <w:pPr>
        <w:pStyle w:val="Body"/>
        <w:numPr>
          <w:ilvl w:val="0"/>
          <w:numId w:val="10"/>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Managed network monitoring environments utilizing SolarWinds, NetFlow Analyzer, and SNMP-based monitoring solutions.</w:t>
      </w:r>
    </w:p>
    <w:p>
      <w:pPr>
        <w:pStyle w:val="Body"/>
        <w:numPr>
          <w:ilvl w:val="0"/>
          <w:numId w:val="10"/>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Coordinated maintenance windows, technology refresh projects, and infrastructure migrations.</w:t>
      </w:r>
    </w:p>
    <w:p>
      <w:pPr>
        <w:pStyle w:val="Body"/>
        <w:numPr>
          <w:ilvl w:val="0"/>
          <w:numId w:val="10"/>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Supported low-latency trading and market-data network environments.</w:t>
      </w:r>
    </w:p>
    <w:p>
      <w:pPr>
        <w:pStyle w:val="Body"/>
        <w:numPr>
          <w:ilvl w:val="0"/>
          <w:numId w:val="10"/>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Implemented PCI-DSS-compliant segmentation for payment-processing systems.</w:t>
      </w:r>
    </w:p>
    <w:p>
      <w:pPr>
        <w:pStyle w:val="Body"/>
        <w:numPr>
          <w:ilvl w:val="0"/>
          <w:numId w:val="10"/>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Managed secure connectivity supporting ATM and branch banking networks.</w:t>
      </w:r>
    </w:p>
    <w:p>
      <w:pPr>
        <w:pStyle w:val="Body"/>
        <w:numPr>
          <w:ilvl w:val="0"/>
          <w:numId w:val="10"/>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Supported SWIFT and financial transaction infrastructure connectivity.</w:t>
      </w:r>
    </w:p>
    <w:p>
      <w:pPr>
        <w:pStyle w:val="Body"/>
        <w:numPr>
          <w:ilvl w:val="0"/>
          <w:numId w:val="10"/>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Participated in banking disaster-recovery and regulatory-audit initiatives.</w:t>
      </w:r>
    </w:p>
    <w:p>
      <w:pPr>
        <w:pStyle w:val="Body"/>
        <w:spacing w:after="0" w:line="240" w:lineRule="auto"/>
        <w:rPr>
          <w:rFonts w:ascii="Times New Roman" w:cs="Times New Roman" w:hAnsi="Times New Roman" w:eastAsia="Times New Roman"/>
          <w:b w:val="1"/>
          <w:bCs w:val="1"/>
          <w:sz w:val="20"/>
          <w:szCs w:val="20"/>
        </w:rPr>
      </w:pPr>
      <w:r>
        <w:rPr>
          <w:rFonts w:ascii="Times New Roman" w:hAnsi="Times New Roman"/>
          <w:b w:val="1"/>
          <w:bCs w:val="1"/>
          <w:sz w:val="20"/>
          <w:szCs w:val="20"/>
          <w:rtl w:val="0"/>
          <w:lang w:val="en-US"/>
        </w:rPr>
        <w:t>Business Impact</w:t>
      </w:r>
    </w:p>
    <w:p>
      <w:pPr>
        <w:pStyle w:val="List Paragraph"/>
        <w:numPr>
          <w:ilvl w:val="0"/>
          <w:numId w:val="12"/>
        </w:numPr>
        <w:bidi w:val="0"/>
        <w:ind w:right="0"/>
        <w:jc w:val="left"/>
        <w:rPr>
          <w:rFonts w:ascii="Times New Roman" w:hAnsi="Times New Roman"/>
          <w:sz w:val="20"/>
          <w:szCs w:val="20"/>
          <w:rtl w:val="0"/>
          <w:lang w:val="en-US"/>
        </w:rPr>
      </w:pPr>
      <w:r>
        <w:rPr>
          <w:rFonts w:ascii="Times New Roman" w:hAnsi="Times New Roman"/>
          <w:sz w:val="20"/>
          <w:szCs w:val="20"/>
          <w:rtl w:val="0"/>
          <w:lang w:val="en-US"/>
        </w:rPr>
        <w:t>Supported infrastructure processing millions of secure financial transactions daily.</w:t>
      </w:r>
    </w:p>
    <w:p>
      <w:pPr>
        <w:pStyle w:val="List Paragraph"/>
        <w:numPr>
          <w:ilvl w:val="0"/>
          <w:numId w:val="12"/>
        </w:numPr>
        <w:bidi w:val="0"/>
        <w:ind w:right="0"/>
        <w:jc w:val="left"/>
        <w:rPr>
          <w:rFonts w:ascii="Times New Roman" w:hAnsi="Times New Roman"/>
          <w:sz w:val="20"/>
          <w:szCs w:val="20"/>
          <w:rtl w:val="0"/>
          <w:lang w:val="en-US"/>
        </w:rPr>
      </w:pPr>
      <w:r>
        <w:rPr>
          <w:rFonts w:ascii="Times New Roman" w:hAnsi="Times New Roman"/>
          <w:sz w:val="20"/>
          <w:szCs w:val="20"/>
          <w:rtl w:val="0"/>
          <w:lang w:val="en-US"/>
        </w:rPr>
        <w:t>Reduced critical network outages by 45% through infrastructure modernization programs.</w:t>
      </w:r>
    </w:p>
    <w:p>
      <w:pPr>
        <w:pStyle w:val="List Paragraph"/>
        <w:numPr>
          <w:ilvl w:val="0"/>
          <w:numId w:val="12"/>
        </w:numPr>
        <w:bidi w:val="0"/>
        <w:ind w:right="0"/>
        <w:jc w:val="left"/>
        <w:rPr>
          <w:rFonts w:ascii="Times New Roman" w:hAnsi="Times New Roman"/>
          <w:sz w:val="20"/>
          <w:szCs w:val="20"/>
          <w:rtl w:val="0"/>
          <w:lang w:val="en-US"/>
        </w:rPr>
      </w:pPr>
      <w:r>
        <w:rPr>
          <w:rFonts w:ascii="Times New Roman" w:hAnsi="Times New Roman"/>
          <w:sz w:val="20"/>
          <w:szCs w:val="20"/>
          <w:rtl w:val="0"/>
          <w:lang w:val="en-US"/>
        </w:rPr>
        <w:t>Improved application response times by 30% for customer-facing banking applications.</w:t>
      </w:r>
    </w:p>
    <w:p>
      <w:pPr>
        <w:pStyle w:val="List Paragraph"/>
        <w:numPr>
          <w:ilvl w:val="0"/>
          <w:numId w:val="12"/>
        </w:numPr>
        <w:bidi w:val="0"/>
        <w:ind w:right="0"/>
        <w:jc w:val="left"/>
        <w:rPr>
          <w:rFonts w:ascii="Times New Roman" w:hAnsi="Times New Roman"/>
          <w:sz w:val="20"/>
          <w:szCs w:val="20"/>
          <w:rtl w:val="0"/>
          <w:lang w:val="en-US"/>
        </w:rPr>
      </w:pPr>
      <w:r>
        <w:rPr>
          <w:rFonts w:ascii="Times New Roman" w:hAnsi="Times New Roman"/>
          <w:sz w:val="20"/>
          <w:szCs w:val="20"/>
          <w:rtl w:val="0"/>
          <w:lang w:val="en-US"/>
        </w:rPr>
        <w:t>Enhanced regulatory compliance posture through security architecture improvements.</w:t>
      </w:r>
    </w:p>
    <w:p>
      <w:pPr>
        <w:pStyle w:val="List Paragraph"/>
        <w:numPr>
          <w:ilvl w:val="0"/>
          <w:numId w:val="12"/>
        </w:numPr>
        <w:bidi w:val="0"/>
        <w:ind w:right="0"/>
        <w:jc w:val="left"/>
        <w:rPr>
          <w:rFonts w:ascii="Times New Roman" w:hAnsi="Times New Roman"/>
          <w:sz w:val="20"/>
          <w:szCs w:val="20"/>
          <w:rtl w:val="0"/>
          <w:lang w:val="en-US"/>
        </w:rPr>
      </w:pPr>
      <w:r>
        <w:rPr>
          <w:rFonts w:ascii="Times New Roman" w:hAnsi="Times New Roman"/>
          <w:sz w:val="20"/>
          <w:szCs w:val="20"/>
          <w:rtl w:val="0"/>
          <w:lang w:val="en-US"/>
        </w:rPr>
        <w:t>Reduced operational costs through WAN optimization and SD-WAN transformation initiatives.</w:t>
      </w:r>
    </w:p>
    <w:p>
      <w:pPr>
        <w:pStyle w:val="Body"/>
        <w:spacing w:after="0" w:line="240" w:lineRule="auto"/>
        <w:rPr>
          <w:rFonts w:ascii="Times New Roman" w:cs="Times New Roman" w:hAnsi="Times New Roman" w:eastAsia="Times New Roman"/>
          <w:b w:val="1"/>
          <w:bCs w:val="1"/>
          <w:sz w:val="20"/>
          <w:szCs w:val="20"/>
        </w:rPr>
      </w:pPr>
      <w:r>
        <w:rPr>
          <w:rFonts w:ascii="Times New Roman" w:hAnsi="Times New Roman"/>
          <w:b w:val="1"/>
          <w:bCs w:val="1"/>
          <w:sz w:val="20"/>
          <w:szCs w:val="20"/>
          <w:rtl w:val="0"/>
          <w:lang w:val="fr-FR"/>
        </w:rPr>
        <w:t>Environment :</w:t>
      </w:r>
    </w:p>
    <w:p>
      <w:pPr>
        <w:pStyle w:val="Body"/>
        <w:spacing w:after="0" w:line="240" w:lineRule="auto"/>
        <w:rPr>
          <w:rFonts w:ascii="Times New Roman" w:cs="Times New Roman" w:hAnsi="Times New Roman" w:eastAsia="Times New Roman"/>
          <w:sz w:val="20"/>
          <w:szCs w:val="20"/>
        </w:rPr>
      </w:pPr>
      <w:r>
        <w:rPr>
          <w:rFonts w:ascii="Times New Roman" w:hAnsi="Times New Roman"/>
          <w:sz w:val="20"/>
          <w:szCs w:val="20"/>
          <w:rtl w:val="0"/>
          <w:lang w:val="en-US"/>
        </w:rPr>
        <w:t>Cisco Nexus 9000/7000, Cisco Catalyst 9500/6800, Cisco ASR 1000, Palo Alto NGFW, Checkpoint Firewalls, Cisco ASA, Cisco Firepower, F5 BIG-IP, Cisco ISE, MPLS, BGP, OSPF, EIGRP, VRF, IPSec VPN, SSL VPN, SD-WAN (Cisco Viptela), AWS Direct Connect, Azure ExpressRoute, Infoblox IPAM, SolarWinds, NetFlow Analyzer, Wireshark, TACACS+, RADIUS, DNS, DHCP, SNMP, Syslog, Python, Ansible, Linux, ITIL, ServiceNow.</w:t>
      </w:r>
    </w:p>
    <w:p>
      <w:pPr>
        <w:pStyle w:val="Body"/>
        <w:spacing w:before="240" w:after="240" w:line="240" w:lineRule="auto"/>
        <w:rPr>
          <w:rFonts w:ascii="Times New Roman" w:cs="Times New Roman" w:hAnsi="Times New Roman" w:eastAsia="Times New Roman"/>
          <w:b w:val="1"/>
          <w:bCs w:val="1"/>
          <w:sz w:val="20"/>
          <w:szCs w:val="20"/>
        </w:rPr>
      </w:pPr>
      <w:r>
        <mc:AlternateContent>
          <mc:Choice Requires="wps">
            <w:drawing xmlns:a="http://schemas.openxmlformats.org/drawingml/2006/main">
              <wp:inline distT="0" distB="0" distL="0" distR="0">
                <wp:extent cx="5943600" cy="19050"/>
                <wp:effectExtent l="0" t="0" r="0" b="0"/>
                <wp:docPr id="1073741826" name="officeArt object" descr="Rectangle"/>
                <wp:cNvGraphicFramePr/>
                <a:graphic xmlns:a="http://schemas.openxmlformats.org/drawingml/2006/main">
                  <a:graphicData uri="http://schemas.microsoft.com/office/word/2010/wordprocessingShape">
                    <wps:wsp>
                      <wps:cNvSpPr/>
                      <wps:spPr>
                        <a:xfrm>
                          <a:off x="0" y="0"/>
                          <a:ext cx="5943600" cy="19050"/>
                        </a:xfrm>
                        <a:prstGeom prst="rect">
                          <a:avLst/>
                        </a:prstGeom>
                        <a:solidFill>
                          <a:srgbClr val="A0A0A0"/>
                        </a:solidFill>
                        <a:ln w="12700" cap="flat">
                          <a:noFill/>
                          <a:miter lim="400000"/>
                        </a:ln>
                        <a:effectLst/>
                      </wps:spPr>
                      <wps:bodyPr/>
                    </wps:wsp>
                  </a:graphicData>
                </a:graphic>
              </wp:inline>
            </w:drawing>
          </mc:Choice>
          <mc:Fallback>
            <w:pict>
              <v:rect id="_x0000_s1027" style="visibility:visible;width:468.0pt;height:1.5pt;">
                <v:fill color="#A0A0A0" opacity="100.0%" type="solid"/>
                <v:stroke on="f" weight="1.0pt" dashstyle="solid" endcap="flat" miterlimit="400.0%" joinstyle="miter" linestyle="single" startarrow="none" startarrowwidth="medium" startarrowlength="medium" endarrow="none" endarrowwidth="medium" endarrowlength="medium"/>
              </v:rect>
            </w:pict>
          </mc:Fallback>
        </mc:AlternateContent>
      </w:r>
    </w:p>
    <w:p>
      <w:pPr>
        <w:pStyle w:val="Body"/>
        <w:spacing w:before="240" w:after="240" w:line="240" w:lineRule="auto"/>
        <w:rPr>
          <w:rFonts w:ascii="Times New Roman" w:cs="Times New Roman" w:hAnsi="Times New Roman" w:eastAsia="Times New Roman"/>
          <w:sz w:val="20"/>
          <w:szCs w:val="20"/>
        </w:rPr>
      </w:pPr>
      <w:r>
        <w:rPr>
          <w:rFonts w:ascii="Times New Roman" w:hAnsi="Times New Roman"/>
          <w:b w:val="1"/>
          <w:bCs w:val="1"/>
          <w:sz w:val="20"/>
          <w:szCs w:val="20"/>
          <w:rtl w:val="0"/>
          <w:lang w:val="en-US"/>
        </w:rPr>
        <w:t>Client:</w:t>
      </w:r>
      <w:r>
        <w:rPr>
          <w:rFonts w:ascii="Times New Roman" w:hAnsi="Times New Roman"/>
          <w:sz w:val="20"/>
          <w:szCs w:val="20"/>
          <w:rtl w:val="0"/>
        </w:rPr>
        <w:t xml:space="preserve"> </w:t>
      </w:r>
      <w:r>
        <w:rPr>
          <w:rFonts w:ascii="Times New Roman" w:hAnsi="Times New Roman"/>
          <w:b w:val="1"/>
          <w:bCs w:val="1"/>
          <w:sz w:val="20"/>
          <w:szCs w:val="20"/>
          <w:rtl w:val="0"/>
          <w:lang w:val="en-US"/>
        </w:rPr>
        <w:t>United Health Group, MN</w:t>
      </w:r>
      <w:r>
        <w:rPr>
          <w:rFonts w:ascii="Times New Roman" w:cs="Times New Roman" w:hAnsi="Times New Roman" w:eastAsia="Times New Roman"/>
          <w:sz w:val="20"/>
          <w:szCs w:val="20"/>
        </w:rPr>
        <w:tab/>
        <w:tab/>
        <w:tab/>
        <w:tab/>
        <w:tab/>
        <w:tab/>
      </w:r>
      <w:r>
        <w:rPr>
          <w:rFonts w:ascii="Times New Roman" w:hAnsi="Times New Roman"/>
          <w:b w:val="1"/>
          <w:bCs w:val="1"/>
          <w:sz w:val="20"/>
          <w:szCs w:val="20"/>
          <w:rtl w:val="0"/>
        </w:rPr>
        <w:t>Jan 2019</w:t>
      </w:r>
      <w:r>
        <w:rPr>
          <w:rFonts w:ascii="Times New Roman" w:hAnsi="Times New Roman" w:hint="default"/>
          <w:b w:val="1"/>
          <w:bCs w:val="1"/>
          <w:sz w:val="20"/>
          <w:szCs w:val="20"/>
          <w:rtl w:val="0"/>
          <w:lang w:val="en-US"/>
        </w:rPr>
        <w:t xml:space="preserve"> – </w:t>
      </w:r>
      <w:r>
        <w:rPr>
          <w:rFonts w:ascii="Times New Roman" w:hAnsi="Times New Roman"/>
          <w:b w:val="1"/>
          <w:bCs w:val="1"/>
          <w:sz w:val="20"/>
          <w:szCs w:val="20"/>
          <w:rtl w:val="0"/>
        </w:rPr>
        <w:t>Jun 2021.</w:t>
      </w:r>
      <w:r>
        <w:rPr>
          <w:rFonts w:ascii="Times New Roman" w:cs="Times New Roman" w:hAnsi="Times New Roman" w:eastAsia="Times New Roman"/>
          <w:b w:val="1"/>
          <w:bCs w:val="1"/>
          <w:sz w:val="20"/>
          <w:szCs w:val="20"/>
        </w:rPr>
        <w:br w:type="textWrapping"/>
      </w:r>
      <w:r>
        <w:rPr>
          <w:rFonts w:ascii="Times New Roman" w:hAnsi="Times New Roman"/>
          <w:b w:val="1"/>
          <w:bCs w:val="1"/>
          <w:sz w:val="20"/>
          <w:szCs w:val="20"/>
          <w:rtl w:val="0"/>
          <w:lang w:val="it-IT"/>
        </w:rPr>
        <w:t>Role:</w:t>
      </w:r>
      <w:r>
        <w:rPr>
          <w:rFonts w:ascii="Times New Roman" w:hAnsi="Times New Roman"/>
          <w:sz w:val="20"/>
          <w:szCs w:val="20"/>
          <w:rtl w:val="0"/>
          <w:lang w:val="en-US"/>
        </w:rPr>
        <w:t xml:space="preserve"> Sr. Network Engineer</w:t>
      </w:r>
    </w:p>
    <w:p>
      <w:pPr>
        <w:pStyle w:val="Body"/>
        <w:rPr>
          <w:rFonts w:ascii="Times New Roman" w:cs="Times New Roman" w:hAnsi="Times New Roman" w:eastAsia="Times New Roman"/>
          <w:b w:val="1"/>
          <w:bCs w:val="1"/>
        </w:rPr>
      </w:pPr>
      <w:r>
        <w:rPr>
          <w:rFonts w:ascii="Times New Roman" w:hAnsi="Times New Roman"/>
          <w:b w:val="1"/>
          <w:bCs w:val="1"/>
          <w:rtl w:val="0"/>
          <w:lang w:val="en-US"/>
        </w:rPr>
        <w:t xml:space="preserve">Responsibilities: </w:t>
      </w:r>
    </w:p>
    <w:p>
      <w:pPr>
        <w:pStyle w:val="Body"/>
        <w:numPr>
          <w:ilvl w:val="0"/>
          <w:numId w:val="14"/>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Managed enterprise healthcare networks supporting hospitals, clinics, laboratories, and remote healthcare facilities across nationwide operations.</w:t>
      </w:r>
    </w:p>
    <w:p>
      <w:pPr>
        <w:pStyle w:val="Body"/>
        <w:numPr>
          <w:ilvl w:val="0"/>
          <w:numId w:val="14"/>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Designed and implemented secure MPLS WAN connectivity enabling seamless communication between healthcare facilities and data centers.</w:t>
      </w:r>
    </w:p>
    <w:p>
      <w:pPr>
        <w:pStyle w:val="Body"/>
        <w:numPr>
          <w:ilvl w:val="0"/>
          <w:numId w:val="14"/>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Configured and maintained Cisco Nexus, Catalyst, and Aruba networking platforms supporting critical healthcare applications.</w:t>
      </w:r>
    </w:p>
    <w:p>
      <w:pPr>
        <w:pStyle w:val="Body"/>
        <w:numPr>
          <w:ilvl w:val="0"/>
          <w:numId w:val="14"/>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Administered Palo Alto and Cisco ASA firewalls to protect sensitive patient information and healthcare systems.</w:t>
      </w:r>
    </w:p>
    <w:p>
      <w:pPr>
        <w:pStyle w:val="Body"/>
        <w:numPr>
          <w:ilvl w:val="0"/>
          <w:numId w:val="14"/>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Implemented Cisco ISE-based Network Access Control solutions enforcing device authentication and role-based access policies.</w:t>
      </w:r>
    </w:p>
    <w:p>
      <w:pPr>
        <w:pStyle w:val="Body"/>
        <w:numPr>
          <w:ilvl w:val="0"/>
          <w:numId w:val="14"/>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Managed Aruba wireless infrastructure supporting clinicians, medical devices, and patient-care applications.</w:t>
      </w:r>
    </w:p>
    <w:p>
      <w:pPr>
        <w:pStyle w:val="Body"/>
        <w:numPr>
          <w:ilvl w:val="0"/>
          <w:numId w:val="14"/>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Supported telehealth platform connectivity ensuring secure and reliable communications between healthcare providers and patients.</w:t>
      </w:r>
    </w:p>
    <w:p>
      <w:pPr>
        <w:pStyle w:val="Body"/>
        <w:numPr>
          <w:ilvl w:val="0"/>
          <w:numId w:val="14"/>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Configured BGP, OSPF, EIGRP, VLANs, VRFs, and QoS policies supporting healthcare application performance requirements.</w:t>
      </w:r>
    </w:p>
    <w:p>
      <w:pPr>
        <w:pStyle w:val="Body"/>
        <w:numPr>
          <w:ilvl w:val="0"/>
          <w:numId w:val="14"/>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Implemented VPN solutions enabling secure remote access for physicians, healthcare providers, and business users.</w:t>
      </w:r>
    </w:p>
    <w:p>
      <w:pPr>
        <w:pStyle w:val="Body"/>
        <w:numPr>
          <w:ilvl w:val="0"/>
          <w:numId w:val="14"/>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Administered Infoblox DNS, DHCP, and IPAM solutions ensuring operational consistency across enterprise environments.</w:t>
      </w:r>
    </w:p>
    <w:p>
      <w:pPr>
        <w:pStyle w:val="Body"/>
        <w:numPr>
          <w:ilvl w:val="0"/>
          <w:numId w:val="14"/>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Conducted wireless surveys and optimization initiatives improving coverage and connectivity within healthcare facilities.</w:t>
      </w:r>
    </w:p>
    <w:p>
      <w:pPr>
        <w:pStyle w:val="Body"/>
        <w:numPr>
          <w:ilvl w:val="0"/>
          <w:numId w:val="14"/>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Collaborated with cybersecurity teams to remediate vulnerabilities and maintain HIPAA compliance standards.</w:t>
      </w:r>
    </w:p>
    <w:p>
      <w:pPr>
        <w:pStyle w:val="Body"/>
        <w:numPr>
          <w:ilvl w:val="0"/>
          <w:numId w:val="14"/>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Performed advanced troubleshooting and root cause analysis for network issues impacting patient-care applications.</w:t>
      </w:r>
    </w:p>
    <w:p>
      <w:pPr>
        <w:pStyle w:val="Body"/>
        <w:numPr>
          <w:ilvl w:val="0"/>
          <w:numId w:val="14"/>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Supported disaster recovery testing and business continuity initiatives ensuring uninterrupted healthcare services.</w:t>
      </w:r>
    </w:p>
    <w:p>
      <w:pPr>
        <w:pStyle w:val="Body"/>
        <w:numPr>
          <w:ilvl w:val="0"/>
          <w:numId w:val="14"/>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Participated in network modernization projects improving infrastructure scalability, security, and operational efficiency.</w:t>
      </w:r>
    </w:p>
    <w:p>
      <w:pPr>
        <w:pStyle w:val="Body"/>
        <w:spacing w:after="0" w:line="240" w:lineRule="auto"/>
        <w:rPr>
          <w:rFonts w:ascii="Times New Roman" w:cs="Times New Roman" w:hAnsi="Times New Roman" w:eastAsia="Times New Roman"/>
          <w:b w:val="1"/>
          <w:bCs w:val="1"/>
          <w:sz w:val="20"/>
          <w:szCs w:val="20"/>
        </w:rPr>
      </w:pPr>
      <w:r>
        <w:rPr>
          <w:rFonts w:ascii="Times New Roman" w:hAnsi="Times New Roman"/>
          <w:b w:val="1"/>
          <w:bCs w:val="1"/>
          <w:sz w:val="20"/>
          <w:szCs w:val="20"/>
          <w:rtl w:val="0"/>
          <w:lang w:val="fr-FR"/>
        </w:rPr>
        <w:t>Environment :</w:t>
      </w:r>
    </w:p>
    <w:p>
      <w:pPr>
        <w:pStyle w:val="Body"/>
        <w:spacing w:after="0" w:line="240" w:lineRule="auto"/>
        <w:rPr>
          <w:rFonts w:ascii="Times New Roman" w:cs="Times New Roman" w:hAnsi="Times New Roman" w:eastAsia="Times New Roman"/>
          <w:sz w:val="20"/>
          <w:szCs w:val="20"/>
        </w:rPr>
      </w:pPr>
      <w:r>
        <w:rPr>
          <w:rFonts w:ascii="Times New Roman" w:hAnsi="Times New Roman"/>
          <w:sz w:val="20"/>
          <w:szCs w:val="20"/>
          <w:rtl w:val="0"/>
          <w:lang w:val="en-US"/>
        </w:rPr>
        <w:t>Cisco Catalyst 9500/9300/3850, Cisco Nexus 7000/5000, Aruba Mobility Controllers, Aruba Access Points, Cisco Wireless LAN Controllers, Cisco ISE, Palo Alto Firewalls, Cisco ASA, MPLS WAN, BGP, OSPF, EIGRP, VPN, SD-WAN, F5 Load Balancers, Infoblox IPAM, SolarWinds, Wireshark, NetFlow, DNS, DHCP, TACACS+, RADIUS, AWS Networking, Azure Networking, Linux, Windows Server, ServiceNow, Jira, HIPAA Security Controls.</w:t>
      </w:r>
    </w:p>
    <w:p>
      <w:pPr>
        <w:pStyle w:val="Body"/>
        <w:spacing w:before="240" w:after="240" w:line="240" w:lineRule="auto"/>
        <w:rPr>
          <w:rFonts w:ascii="Times New Roman" w:cs="Times New Roman" w:hAnsi="Times New Roman" w:eastAsia="Times New Roman"/>
          <w:b w:val="1"/>
          <w:bCs w:val="1"/>
          <w:sz w:val="20"/>
          <w:szCs w:val="20"/>
        </w:rPr>
      </w:pPr>
      <w:r>
        <mc:AlternateContent>
          <mc:Choice Requires="wps">
            <w:drawing xmlns:a="http://schemas.openxmlformats.org/drawingml/2006/main">
              <wp:inline distT="0" distB="0" distL="0" distR="0">
                <wp:extent cx="5943600" cy="19050"/>
                <wp:effectExtent l="0" t="0" r="0" b="0"/>
                <wp:docPr id="1073741827" name="officeArt object" descr="Rectangle"/>
                <wp:cNvGraphicFramePr/>
                <a:graphic xmlns:a="http://schemas.openxmlformats.org/drawingml/2006/main">
                  <a:graphicData uri="http://schemas.microsoft.com/office/word/2010/wordprocessingShape">
                    <wps:wsp>
                      <wps:cNvSpPr/>
                      <wps:spPr>
                        <a:xfrm>
                          <a:off x="0" y="0"/>
                          <a:ext cx="5943600" cy="19050"/>
                        </a:xfrm>
                        <a:prstGeom prst="rect">
                          <a:avLst/>
                        </a:prstGeom>
                        <a:solidFill>
                          <a:srgbClr val="A0A0A0"/>
                        </a:solidFill>
                        <a:ln w="12700" cap="flat">
                          <a:noFill/>
                          <a:miter lim="400000"/>
                        </a:ln>
                        <a:effectLst/>
                      </wps:spPr>
                      <wps:bodyPr/>
                    </wps:wsp>
                  </a:graphicData>
                </a:graphic>
              </wp:inline>
            </w:drawing>
          </mc:Choice>
          <mc:Fallback>
            <w:pict>
              <v:rect id="_x0000_s1028" style="visibility:visible;width:468.0pt;height:1.5pt;">
                <v:fill color="#A0A0A0" opacity="100.0%" type="solid"/>
                <v:stroke on="f" weight="1.0pt" dashstyle="solid" endcap="flat" miterlimit="400.0%" joinstyle="miter" linestyle="single" startarrow="none" startarrowwidth="medium" startarrowlength="medium" endarrow="none" endarrowwidth="medium" endarrowlength="medium"/>
              </v:rect>
            </w:pict>
          </mc:Fallback>
        </mc:AlternateContent>
      </w:r>
    </w:p>
    <w:p>
      <w:pPr>
        <w:pStyle w:val="Body"/>
        <w:spacing w:before="240" w:after="240" w:line="240" w:lineRule="auto"/>
        <w:rPr>
          <w:rFonts w:ascii="Times New Roman" w:cs="Times New Roman" w:hAnsi="Times New Roman" w:eastAsia="Times New Roman"/>
          <w:sz w:val="20"/>
          <w:szCs w:val="20"/>
        </w:rPr>
      </w:pPr>
      <w:r>
        <w:rPr>
          <w:rFonts w:ascii="Times New Roman" w:hAnsi="Times New Roman"/>
          <w:b w:val="1"/>
          <w:bCs w:val="1"/>
          <w:sz w:val="20"/>
          <w:szCs w:val="20"/>
          <w:rtl w:val="0"/>
          <w:lang w:val="en-US"/>
        </w:rPr>
        <w:t>Client:</w:t>
      </w:r>
      <w:r>
        <w:rPr>
          <w:rFonts w:ascii="Times New Roman" w:hAnsi="Times New Roman"/>
          <w:sz w:val="20"/>
          <w:szCs w:val="20"/>
          <w:rtl w:val="0"/>
        </w:rPr>
        <w:t xml:space="preserve"> </w:t>
      </w:r>
      <w:r>
        <w:rPr>
          <w:rFonts w:ascii="Times New Roman" w:hAnsi="Times New Roman"/>
          <w:b w:val="1"/>
          <w:bCs w:val="1"/>
          <w:sz w:val="20"/>
          <w:szCs w:val="20"/>
          <w:rtl w:val="0"/>
          <w:lang w:val="en-US"/>
        </w:rPr>
        <w:t>Target Corporation, MN</w:t>
      </w:r>
      <w:r>
        <w:rPr>
          <w:rFonts w:ascii="Times New Roman" w:cs="Times New Roman" w:hAnsi="Times New Roman" w:eastAsia="Times New Roman"/>
          <w:sz w:val="20"/>
          <w:szCs w:val="20"/>
        </w:rPr>
        <w:tab/>
        <w:tab/>
        <w:tab/>
        <w:tab/>
        <w:tab/>
        <w:tab/>
        <w:tab/>
        <w:tab/>
      </w:r>
      <w:r>
        <w:rPr>
          <w:rFonts w:ascii="Times New Roman" w:hAnsi="Times New Roman"/>
          <w:b w:val="1"/>
          <w:bCs w:val="1"/>
          <w:sz w:val="20"/>
          <w:szCs w:val="20"/>
          <w:rtl w:val="0"/>
        </w:rPr>
        <w:t>Jul 2017</w:t>
      </w:r>
      <w:r>
        <w:rPr>
          <w:rFonts w:ascii="Times New Roman" w:hAnsi="Times New Roman" w:hint="default"/>
          <w:b w:val="1"/>
          <w:bCs w:val="1"/>
          <w:sz w:val="20"/>
          <w:szCs w:val="20"/>
          <w:rtl w:val="0"/>
          <w:lang w:val="en-US"/>
        </w:rPr>
        <w:t xml:space="preserve">– </w:t>
      </w:r>
      <w:r>
        <w:rPr>
          <w:rFonts w:ascii="Times New Roman" w:hAnsi="Times New Roman"/>
          <w:b w:val="1"/>
          <w:bCs w:val="1"/>
          <w:sz w:val="20"/>
          <w:szCs w:val="20"/>
          <w:rtl w:val="0"/>
          <w:lang w:val="fr-FR"/>
        </w:rPr>
        <w:t>Dec 2018</w:t>
      </w:r>
      <w:r>
        <w:rPr>
          <w:rFonts w:ascii="Times New Roman" w:cs="Times New Roman" w:hAnsi="Times New Roman" w:eastAsia="Times New Roman"/>
          <w:b w:val="1"/>
          <w:bCs w:val="1"/>
          <w:sz w:val="20"/>
          <w:szCs w:val="20"/>
        </w:rPr>
        <w:br w:type="textWrapping"/>
      </w:r>
      <w:r>
        <w:rPr>
          <w:rFonts w:ascii="Times New Roman" w:hAnsi="Times New Roman"/>
          <w:b w:val="1"/>
          <w:bCs w:val="1"/>
          <w:sz w:val="20"/>
          <w:szCs w:val="20"/>
          <w:rtl w:val="0"/>
          <w:lang w:val="it-IT"/>
        </w:rPr>
        <w:t>Role:</w:t>
      </w:r>
      <w:r>
        <w:rPr>
          <w:rFonts w:ascii="Times New Roman" w:hAnsi="Times New Roman"/>
          <w:sz w:val="20"/>
          <w:szCs w:val="20"/>
          <w:rtl w:val="0"/>
          <w:lang w:val="en-US"/>
        </w:rPr>
        <w:t xml:space="preserve"> Network Engineer  </w:t>
      </w:r>
    </w:p>
    <w:p>
      <w:pPr>
        <w:pStyle w:val="Body"/>
        <w:rPr>
          <w:rFonts w:ascii="Times New Roman" w:cs="Times New Roman" w:hAnsi="Times New Roman" w:eastAsia="Times New Roman"/>
          <w:b w:val="1"/>
          <w:bCs w:val="1"/>
        </w:rPr>
      </w:pPr>
      <w:r>
        <w:rPr>
          <w:rFonts w:ascii="Times New Roman" w:hAnsi="Times New Roman"/>
          <w:b w:val="1"/>
          <w:bCs w:val="1"/>
          <w:rtl w:val="0"/>
          <w:lang w:val="en-US"/>
        </w:rPr>
        <w:t xml:space="preserve">Responsibilities: </w:t>
      </w:r>
    </w:p>
    <w:p>
      <w:pPr>
        <w:pStyle w:val="Body"/>
        <w:numPr>
          <w:ilvl w:val="0"/>
          <w:numId w:val="16"/>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Supported enterprise retail networking infrastructure connecting retail stores, warehouses, and corporate facilities nationwide.</w:t>
      </w:r>
    </w:p>
    <w:p>
      <w:pPr>
        <w:pStyle w:val="Body"/>
        <w:numPr>
          <w:ilvl w:val="0"/>
          <w:numId w:val="16"/>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Configured Cisco Catalyst switches and ISR routers supporting mission-critical retail business operations.</w:t>
      </w:r>
    </w:p>
    <w:p>
      <w:pPr>
        <w:pStyle w:val="Body"/>
        <w:numPr>
          <w:ilvl w:val="0"/>
          <w:numId w:val="16"/>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Managed MPLS WAN connectivity between retail stores, distribution centers, and regional data centers.</w:t>
      </w:r>
    </w:p>
    <w:p>
      <w:pPr>
        <w:pStyle w:val="Body"/>
        <w:numPr>
          <w:ilvl w:val="0"/>
          <w:numId w:val="16"/>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Supported Cisco Meraki wireless environments utilized by retail associates, inventory scanners, and mobile business applications.</w:t>
      </w:r>
    </w:p>
    <w:p>
      <w:pPr>
        <w:pStyle w:val="Body"/>
        <w:numPr>
          <w:ilvl w:val="0"/>
          <w:numId w:val="16"/>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Configured VLANs, STP, EtherChannel, and QoS policies improving network performance and reliability.</w:t>
      </w:r>
    </w:p>
    <w:p>
      <w:pPr>
        <w:pStyle w:val="Body"/>
        <w:numPr>
          <w:ilvl w:val="0"/>
          <w:numId w:val="16"/>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Managed VPN connectivity supporting secure communication between retail locations and enterprise systems.</w:t>
      </w:r>
    </w:p>
    <w:p>
      <w:pPr>
        <w:pStyle w:val="Body"/>
        <w:numPr>
          <w:ilvl w:val="0"/>
          <w:numId w:val="16"/>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Administered Cisco ASA firewalls enforcing network security policies and secure access controls.</w:t>
      </w:r>
    </w:p>
    <w:p>
      <w:pPr>
        <w:pStyle w:val="Body"/>
        <w:numPr>
          <w:ilvl w:val="0"/>
          <w:numId w:val="16"/>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Supported warehouse automation systems and logistics applications requiring high availability connectivity.</w:t>
      </w:r>
    </w:p>
    <w:p>
      <w:pPr>
        <w:pStyle w:val="Body"/>
        <w:numPr>
          <w:ilvl w:val="0"/>
          <w:numId w:val="16"/>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Performed network monitoring utilizing SolarWinds and NetFlow ensuring proactive issue identification.</w:t>
      </w:r>
    </w:p>
    <w:p>
      <w:pPr>
        <w:pStyle w:val="Body"/>
        <w:numPr>
          <w:ilvl w:val="0"/>
          <w:numId w:val="16"/>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Coordinated ISP provisioning, WAN circuit upgrades, and network expansion projects supporting new store openings.</w:t>
      </w:r>
    </w:p>
    <w:p>
      <w:pPr>
        <w:pStyle w:val="Body"/>
        <w:numPr>
          <w:ilvl w:val="0"/>
          <w:numId w:val="16"/>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Conducted troubleshooting of routing, switching, wireless, and WAN-related issues impacting retail operations.</w:t>
      </w:r>
    </w:p>
    <w:p>
      <w:pPr>
        <w:pStyle w:val="Body"/>
        <w:numPr>
          <w:ilvl w:val="0"/>
          <w:numId w:val="16"/>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Supported infrastructure upgrades and hardware refresh projects across retail and distribution facilities.</w:t>
      </w:r>
    </w:p>
    <w:p>
      <w:pPr>
        <w:pStyle w:val="Body"/>
        <w:numPr>
          <w:ilvl w:val="0"/>
          <w:numId w:val="16"/>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Maintained network documentation, operational procedures, and inventory management records.</w:t>
      </w:r>
    </w:p>
    <w:p>
      <w:pPr>
        <w:pStyle w:val="Body"/>
        <w:numPr>
          <w:ilvl w:val="0"/>
          <w:numId w:val="16"/>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Participated in disaster recovery planning and failover testing activities.</w:t>
      </w:r>
    </w:p>
    <w:p>
      <w:pPr>
        <w:pStyle w:val="Body"/>
        <w:numPr>
          <w:ilvl w:val="0"/>
          <w:numId w:val="16"/>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Provided Tier-3 escalation support for critical networking incidents and production outages.</w:t>
      </w:r>
    </w:p>
    <w:p>
      <w:pPr>
        <w:pStyle w:val="Body"/>
        <w:spacing w:after="0" w:line="240" w:lineRule="auto"/>
        <w:rPr>
          <w:rFonts w:ascii="Times New Roman" w:cs="Times New Roman" w:hAnsi="Times New Roman" w:eastAsia="Times New Roman"/>
          <w:b w:val="1"/>
          <w:bCs w:val="1"/>
          <w:sz w:val="20"/>
          <w:szCs w:val="20"/>
        </w:rPr>
      </w:pPr>
      <w:r>
        <w:rPr>
          <w:rFonts w:ascii="Times New Roman" w:hAnsi="Times New Roman"/>
          <w:b w:val="1"/>
          <w:bCs w:val="1"/>
          <w:sz w:val="20"/>
          <w:szCs w:val="20"/>
          <w:rtl w:val="0"/>
          <w:lang w:val="fr-FR"/>
        </w:rPr>
        <w:t>Environment :</w:t>
      </w:r>
    </w:p>
    <w:p>
      <w:pPr>
        <w:pStyle w:val="Body"/>
        <w:spacing w:after="0" w:line="240" w:lineRule="auto"/>
        <w:rPr>
          <w:rFonts w:ascii="Times New Roman" w:cs="Times New Roman" w:hAnsi="Times New Roman" w:eastAsia="Times New Roman"/>
          <w:sz w:val="20"/>
          <w:szCs w:val="20"/>
        </w:rPr>
      </w:pPr>
      <w:r>
        <w:rPr>
          <w:rFonts w:ascii="Times New Roman" w:hAnsi="Times New Roman"/>
          <w:sz w:val="20"/>
          <w:szCs w:val="20"/>
          <w:rtl w:val="0"/>
          <w:lang w:val="en-US"/>
        </w:rPr>
        <w:t>Cisco Catalyst 6500/4500/3850/3750, Cisco ISR 4000 Series Routers, Cisco Meraki Wireless, Cisco Prime Infrastructure, MPLS WAN, OSPF, EIGRP, BGP, VPN, QoS, Cisco ASA Firewalls, F5 Load Balancers, SolarWinds NPM, NetFlow Analyzer, Wireshark, DNS, DHCP, SNMP, Syslog, Wireless LAN Controllers, Distribution Center Networks, Warehouse Connectivity Systems, Linux, Windows Server, ServiceNow.</w:t>
      </w:r>
    </w:p>
    <w:p>
      <w:pPr>
        <w:pStyle w:val="Body"/>
        <w:spacing w:before="240" w:after="240" w:line="240" w:lineRule="auto"/>
        <w:rPr>
          <w:rFonts w:ascii="Times New Roman" w:cs="Times New Roman" w:hAnsi="Times New Roman" w:eastAsia="Times New Roman"/>
          <w:b w:val="1"/>
          <w:bCs w:val="1"/>
          <w:sz w:val="20"/>
          <w:szCs w:val="20"/>
        </w:rPr>
      </w:pPr>
      <w:r>
        <mc:AlternateContent>
          <mc:Choice Requires="wps">
            <w:drawing xmlns:a="http://schemas.openxmlformats.org/drawingml/2006/main">
              <wp:inline distT="0" distB="0" distL="0" distR="0">
                <wp:extent cx="5943600" cy="19050"/>
                <wp:effectExtent l="0" t="0" r="0" b="0"/>
                <wp:docPr id="1073741828" name="officeArt object" descr="Rectangle"/>
                <wp:cNvGraphicFramePr/>
                <a:graphic xmlns:a="http://schemas.openxmlformats.org/drawingml/2006/main">
                  <a:graphicData uri="http://schemas.microsoft.com/office/word/2010/wordprocessingShape">
                    <wps:wsp>
                      <wps:cNvSpPr/>
                      <wps:spPr>
                        <a:xfrm>
                          <a:off x="0" y="0"/>
                          <a:ext cx="5943600" cy="19050"/>
                        </a:xfrm>
                        <a:prstGeom prst="rect">
                          <a:avLst/>
                        </a:prstGeom>
                        <a:solidFill>
                          <a:srgbClr val="A0A0A0"/>
                        </a:solidFill>
                        <a:ln w="12700" cap="flat">
                          <a:noFill/>
                          <a:miter lim="400000"/>
                        </a:ln>
                        <a:effectLst/>
                      </wps:spPr>
                      <wps:bodyPr/>
                    </wps:wsp>
                  </a:graphicData>
                </a:graphic>
              </wp:inline>
            </w:drawing>
          </mc:Choice>
          <mc:Fallback>
            <w:pict>
              <v:rect id="_x0000_s1029" style="visibility:visible;width:468.0pt;height:1.5pt;">
                <v:fill color="#A0A0A0" opacity="100.0%" type="solid"/>
                <v:stroke on="f" weight="1.0pt" dashstyle="solid" endcap="flat" miterlimit="400.0%" joinstyle="miter" linestyle="single" startarrow="none" startarrowwidth="medium" startarrowlength="medium" endarrow="none" endarrowwidth="medium" endarrowlength="medium"/>
              </v:rect>
            </w:pict>
          </mc:Fallback>
        </mc:AlternateContent>
      </w:r>
    </w:p>
    <w:p>
      <w:pPr>
        <w:pStyle w:val="Body"/>
        <w:spacing w:before="240" w:after="240" w:line="240" w:lineRule="auto"/>
        <w:rPr>
          <w:rFonts w:ascii="Times New Roman" w:cs="Times New Roman" w:hAnsi="Times New Roman" w:eastAsia="Times New Roman"/>
          <w:sz w:val="20"/>
          <w:szCs w:val="20"/>
        </w:rPr>
      </w:pPr>
      <w:r>
        <w:rPr>
          <w:rFonts w:ascii="Times New Roman" w:hAnsi="Times New Roman"/>
          <w:b w:val="1"/>
          <w:bCs w:val="1"/>
          <w:sz w:val="20"/>
          <w:szCs w:val="20"/>
          <w:rtl w:val="0"/>
          <w:lang w:val="en-US"/>
        </w:rPr>
        <w:t>Client:</w:t>
      </w:r>
      <w:r>
        <w:rPr>
          <w:rFonts w:ascii="Times New Roman" w:hAnsi="Times New Roman"/>
          <w:sz w:val="20"/>
          <w:szCs w:val="20"/>
          <w:rtl w:val="0"/>
        </w:rPr>
        <w:t xml:space="preserve"> </w:t>
      </w:r>
      <w:r>
        <w:rPr>
          <w:rFonts w:ascii="Times New Roman" w:hAnsi="Times New Roman"/>
          <w:b w:val="1"/>
          <w:bCs w:val="1"/>
          <w:sz w:val="20"/>
          <w:szCs w:val="20"/>
          <w:rtl w:val="0"/>
          <w:lang w:val="nl-NL"/>
        </w:rPr>
        <w:t>FedEx, TN</w:t>
      </w:r>
      <w:r>
        <w:rPr>
          <w:rFonts w:ascii="Times New Roman" w:cs="Times New Roman" w:hAnsi="Times New Roman" w:eastAsia="Times New Roman"/>
          <w:sz w:val="20"/>
          <w:szCs w:val="20"/>
        </w:rPr>
        <w:tab/>
        <w:tab/>
        <w:tab/>
        <w:tab/>
        <w:tab/>
        <w:tab/>
        <w:tab/>
        <w:tab/>
        <w:tab/>
      </w:r>
      <w:r>
        <w:rPr>
          <w:rFonts w:ascii="Times New Roman" w:hAnsi="Times New Roman"/>
          <w:b w:val="1"/>
          <w:bCs w:val="1"/>
          <w:sz w:val="20"/>
          <w:szCs w:val="20"/>
          <w:rtl w:val="0"/>
          <w:lang w:val="en-US"/>
        </w:rPr>
        <w:t>Oct 2016</w:t>
      </w:r>
      <w:r>
        <w:rPr>
          <w:rFonts w:ascii="Times New Roman" w:hAnsi="Times New Roman" w:hint="default"/>
          <w:b w:val="1"/>
          <w:bCs w:val="1"/>
          <w:sz w:val="20"/>
          <w:szCs w:val="20"/>
          <w:rtl w:val="0"/>
          <w:lang w:val="en-US"/>
        </w:rPr>
        <w:t xml:space="preserve"> – </w:t>
      </w:r>
      <w:r>
        <w:rPr>
          <w:rFonts w:ascii="Times New Roman" w:hAnsi="Times New Roman"/>
          <w:b w:val="1"/>
          <w:bCs w:val="1"/>
          <w:sz w:val="20"/>
          <w:szCs w:val="20"/>
          <w:rtl w:val="0"/>
        </w:rPr>
        <w:t>Jun 2017</w:t>
      </w:r>
      <w:r>
        <w:rPr>
          <w:rFonts w:ascii="Times New Roman" w:cs="Times New Roman" w:hAnsi="Times New Roman" w:eastAsia="Times New Roman"/>
          <w:b w:val="1"/>
          <w:bCs w:val="1"/>
          <w:sz w:val="20"/>
          <w:szCs w:val="20"/>
        </w:rPr>
        <w:br w:type="textWrapping"/>
      </w:r>
      <w:r>
        <w:rPr>
          <w:rFonts w:ascii="Times New Roman" w:hAnsi="Times New Roman"/>
          <w:b w:val="1"/>
          <w:bCs w:val="1"/>
          <w:sz w:val="20"/>
          <w:szCs w:val="20"/>
          <w:rtl w:val="0"/>
          <w:lang w:val="it-IT"/>
        </w:rPr>
        <w:t>Role:</w:t>
      </w:r>
      <w:r>
        <w:rPr>
          <w:rFonts w:ascii="Times New Roman" w:hAnsi="Times New Roman"/>
          <w:sz w:val="20"/>
          <w:szCs w:val="20"/>
          <w:rtl w:val="0"/>
          <w:lang w:val="en-US"/>
        </w:rPr>
        <w:t xml:space="preserve"> Network Engineer</w:t>
      </w:r>
    </w:p>
    <w:p>
      <w:pPr>
        <w:pStyle w:val="Body"/>
        <w:rPr>
          <w:rFonts w:ascii="Times New Roman" w:cs="Times New Roman" w:hAnsi="Times New Roman" w:eastAsia="Times New Roman"/>
          <w:b w:val="1"/>
          <w:bCs w:val="1"/>
        </w:rPr>
      </w:pPr>
      <w:r>
        <w:rPr>
          <w:rFonts w:ascii="Times New Roman" w:hAnsi="Times New Roman"/>
          <w:b w:val="1"/>
          <w:bCs w:val="1"/>
          <w:rtl w:val="0"/>
          <w:lang w:val="en-US"/>
        </w:rPr>
        <w:t xml:space="preserve">Responsibilities: </w:t>
      </w:r>
    </w:p>
    <w:p>
      <w:pPr>
        <w:pStyle w:val="Body"/>
        <w:numPr>
          <w:ilvl w:val="0"/>
          <w:numId w:val="18"/>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Supported enterprise logistics networking infrastructure connecting distribution centers, warehouses, transportation hubs, and corporate facilities.</w:t>
      </w:r>
    </w:p>
    <w:p>
      <w:pPr>
        <w:pStyle w:val="Body"/>
        <w:numPr>
          <w:ilvl w:val="0"/>
          <w:numId w:val="18"/>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Managed MPLS WAN environments supporting shipment tracking, package routing, and logistics management systems.</w:t>
      </w:r>
    </w:p>
    <w:p>
      <w:pPr>
        <w:pStyle w:val="Body"/>
        <w:numPr>
          <w:ilvl w:val="0"/>
          <w:numId w:val="18"/>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Configured Cisco routing and switching infrastructure supporting mission-critical transportation operations.</w:t>
      </w:r>
    </w:p>
    <w:p>
      <w:pPr>
        <w:pStyle w:val="Body"/>
        <w:numPr>
          <w:ilvl w:val="0"/>
          <w:numId w:val="18"/>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Implemented VPN connectivity solutions enabling secure communications between regional facilities and data centers.</w:t>
      </w:r>
    </w:p>
    <w:p>
      <w:pPr>
        <w:pStyle w:val="Body"/>
        <w:numPr>
          <w:ilvl w:val="0"/>
          <w:numId w:val="18"/>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Supported BGP and OSPF routing environments ensuring reliable connectivity across geographically distributed locations.</w:t>
      </w:r>
    </w:p>
    <w:p>
      <w:pPr>
        <w:pStyle w:val="Body"/>
        <w:numPr>
          <w:ilvl w:val="0"/>
          <w:numId w:val="18"/>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Monitored network performance utilizing SolarWinds, SNMP, and NetFlow-based monitoring tools.</w:t>
      </w:r>
    </w:p>
    <w:p>
      <w:pPr>
        <w:pStyle w:val="Body"/>
        <w:numPr>
          <w:ilvl w:val="0"/>
          <w:numId w:val="18"/>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Performed troubleshooting of routing, switching, WAN, and VPN-related issues affecting logistics operations.</w:t>
      </w:r>
    </w:p>
    <w:p>
      <w:pPr>
        <w:pStyle w:val="Body"/>
        <w:numPr>
          <w:ilvl w:val="0"/>
          <w:numId w:val="18"/>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Participated in network infrastructure upgrades, WAN optimization projects, and technology refresh initiatives.</w:t>
      </w:r>
    </w:p>
    <w:p>
      <w:pPr>
        <w:pStyle w:val="Body"/>
        <w:numPr>
          <w:ilvl w:val="0"/>
          <w:numId w:val="18"/>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Supported disaster recovery planning and business continuity testing activities.</w:t>
      </w:r>
    </w:p>
    <w:p>
      <w:pPr>
        <w:pStyle w:val="Body"/>
        <w:numPr>
          <w:ilvl w:val="0"/>
          <w:numId w:val="18"/>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Maintained network documentation, operational standards, and change management records.</w:t>
      </w:r>
    </w:p>
    <w:p>
      <w:pPr>
        <w:pStyle w:val="Body"/>
        <w:spacing w:after="0" w:line="240" w:lineRule="auto"/>
        <w:rPr>
          <w:rFonts w:ascii="Times New Roman" w:cs="Times New Roman" w:hAnsi="Times New Roman" w:eastAsia="Times New Roman"/>
          <w:b w:val="1"/>
          <w:bCs w:val="1"/>
          <w:sz w:val="20"/>
          <w:szCs w:val="20"/>
        </w:rPr>
      </w:pPr>
    </w:p>
    <w:p>
      <w:pPr>
        <w:pStyle w:val="Body"/>
        <w:spacing w:after="0" w:line="240" w:lineRule="auto"/>
        <w:rPr>
          <w:rFonts w:ascii="Times New Roman" w:cs="Times New Roman" w:hAnsi="Times New Roman" w:eastAsia="Times New Roman"/>
          <w:b w:val="1"/>
          <w:bCs w:val="1"/>
          <w:sz w:val="20"/>
          <w:szCs w:val="20"/>
        </w:rPr>
      </w:pPr>
      <w:r>
        <w:rPr>
          <w:rFonts w:ascii="Times New Roman" w:hAnsi="Times New Roman"/>
          <w:b w:val="1"/>
          <w:bCs w:val="1"/>
          <w:sz w:val="20"/>
          <w:szCs w:val="20"/>
          <w:rtl w:val="0"/>
          <w:lang w:val="fr-FR"/>
        </w:rPr>
        <w:t>Environment :</w:t>
      </w:r>
    </w:p>
    <w:p>
      <w:pPr>
        <w:pStyle w:val="Body"/>
        <w:spacing w:after="0" w:line="240" w:lineRule="auto"/>
        <w:rPr>
          <w:rFonts w:ascii="Times New Roman" w:cs="Times New Roman" w:hAnsi="Times New Roman" w:eastAsia="Times New Roman"/>
          <w:sz w:val="20"/>
          <w:szCs w:val="20"/>
        </w:rPr>
      </w:pPr>
      <w:r>
        <w:rPr>
          <w:rFonts w:ascii="Times New Roman" w:hAnsi="Times New Roman"/>
          <w:sz w:val="20"/>
          <w:szCs w:val="20"/>
          <w:rtl w:val="0"/>
          <w:lang w:val="en-US"/>
        </w:rPr>
        <w:t>Cisco ASR 1000, Cisco ISR 4000 Series, Cisco Catalyst 4500/3850/3750, MPLS WAN, BGP, OSPF, VPN, Cisco ASA Firewalls, SolarWinds NPM, NetFlow Analyzer, Infoblox DNS/DHCP/IPAM, QoS, SNMP, Syslog, Wireshark, F5 BIG-IP Load Balancers, Linux, Windows Server, ServiceNow, Change Management, WAN Optimization Technologies.</w:t>
      </w:r>
    </w:p>
    <w:p>
      <w:pPr>
        <w:pStyle w:val="Body"/>
        <w:spacing w:before="240" w:after="240" w:line="240" w:lineRule="auto"/>
        <w:rPr>
          <w:rFonts w:ascii="Times New Roman" w:cs="Times New Roman" w:hAnsi="Times New Roman" w:eastAsia="Times New Roman"/>
          <w:b w:val="1"/>
          <w:bCs w:val="1"/>
          <w:sz w:val="20"/>
          <w:szCs w:val="20"/>
        </w:rPr>
      </w:pPr>
      <w:r>
        <mc:AlternateContent>
          <mc:Choice Requires="wps">
            <w:drawing xmlns:a="http://schemas.openxmlformats.org/drawingml/2006/main">
              <wp:inline distT="0" distB="0" distL="0" distR="0">
                <wp:extent cx="5943600" cy="19050"/>
                <wp:effectExtent l="0" t="0" r="0" b="0"/>
                <wp:docPr id="1073741829" name="officeArt object" descr="Rectangle"/>
                <wp:cNvGraphicFramePr/>
                <a:graphic xmlns:a="http://schemas.openxmlformats.org/drawingml/2006/main">
                  <a:graphicData uri="http://schemas.microsoft.com/office/word/2010/wordprocessingShape">
                    <wps:wsp>
                      <wps:cNvSpPr/>
                      <wps:spPr>
                        <a:xfrm>
                          <a:off x="0" y="0"/>
                          <a:ext cx="5943600" cy="19050"/>
                        </a:xfrm>
                        <a:prstGeom prst="rect">
                          <a:avLst/>
                        </a:prstGeom>
                        <a:solidFill>
                          <a:srgbClr val="A0A0A0"/>
                        </a:solidFill>
                        <a:ln w="12700" cap="flat">
                          <a:noFill/>
                          <a:miter lim="400000"/>
                        </a:ln>
                        <a:effectLst/>
                      </wps:spPr>
                      <wps:bodyPr/>
                    </wps:wsp>
                  </a:graphicData>
                </a:graphic>
              </wp:inline>
            </w:drawing>
          </mc:Choice>
          <mc:Fallback>
            <w:pict>
              <v:rect id="_x0000_s1030" style="visibility:visible;width:468.0pt;height:1.5pt;">
                <v:fill color="#A0A0A0" opacity="100.0%" type="solid"/>
                <v:stroke on="f" weight="1.0pt" dashstyle="solid" endcap="flat" miterlimit="400.0%" joinstyle="miter" linestyle="single" startarrow="none" startarrowwidth="medium" startarrowlength="medium" endarrow="none" endarrowwidth="medium" endarrowlength="medium"/>
              </v:rect>
            </w:pict>
          </mc:Fallback>
        </mc:AlternateContent>
      </w:r>
    </w:p>
    <w:p>
      <w:pPr>
        <w:pStyle w:val="Body"/>
        <w:spacing w:before="240" w:after="240" w:line="240" w:lineRule="auto"/>
        <w:rPr>
          <w:rFonts w:ascii="Times New Roman" w:cs="Times New Roman" w:hAnsi="Times New Roman" w:eastAsia="Times New Roman"/>
          <w:sz w:val="20"/>
          <w:szCs w:val="20"/>
        </w:rPr>
      </w:pPr>
      <w:r>
        <w:rPr>
          <w:rFonts w:ascii="Times New Roman" w:hAnsi="Times New Roman"/>
          <w:b w:val="1"/>
          <w:bCs w:val="1"/>
          <w:sz w:val="20"/>
          <w:szCs w:val="20"/>
          <w:rtl w:val="0"/>
          <w:lang w:val="en-US"/>
        </w:rPr>
        <w:t>Client:</w:t>
      </w:r>
      <w:r>
        <w:rPr>
          <w:rFonts w:ascii="Times New Roman" w:hAnsi="Times New Roman"/>
          <w:sz w:val="20"/>
          <w:szCs w:val="20"/>
          <w:rtl w:val="0"/>
        </w:rPr>
        <w:t xml:space="preserve"> </w:t>
      </w:r>
      <w:r>
        <w:rPr>
          <w:rFonts w:ascii="Times New Roman" w:hAnsi="Times New Roman"/>
          <w:b w:val="1"/>
          <w:bCs w:val="1"/>
          <w:sz w:val="20"/>
          <w:szCs w:val="20"/>
          <w:rtl w:val="0"/>
          <w:lang w:val="es-ES_tradnl"/>
        </w:rPr>
        <w:t>Polaris,India</w:t>
      </w:r>
      <w:r>
        <w:rPr>
          <w:rFonts w:ascii="Times New Roman" w:cs="Times New Roman" w:hAnsi="Times New Roman" w:eastAsia="Times New Roman"/>
          <w:sz w:val="20"/>
          <w:szCs w:val="20"/>
        </w:rPr>
        <w:tab/>
        <w:tab/>
        <w:tab/>
        <w:tab/>
        <w:tab/>
        <w:tab/>
        <w:tab/>
      </w:r>
      <w:r>
        <w:rPr>
          <w:rFonts w:ascii="Times New Roman" w:hAnsi="Times New Roman"/>
          <w:b w:val="1"/>
          <w:bCs w:val="1"/>
          <w:sz w:val="20"/>
          <w:szCs w:val="20"/>
          <w:rtl w:val="0"/>
          <w:lang w:val="en-US"/>
        </w:rPr>
        <w:t>Oct 2012</w:t>
      </w:r>
      <w:r>
        <w:rPr>
          <w:rFonts w:ascii="Times New Roman" w:hAnsi="Times New Roman" w:hint="default"/>
          <w:b w:val="1"/>
          <w:bCs w:val="1"/>
          <w:sz w:val="20"/>
          <w:szCs w:val="20"/>
          <w:rtl w:val="0"/>
          <w:lang w:val="en-US"/>
        </w:rPr>
        <w:t xml:space="preserve"> – </w:t>
      </w:r>
      <w:r>
        <w:rPr>
          <w:rFonts w:ascii="Times New Roman" w:hAnsi="Times New Roman"/>
          <w:b w:val="1"/>
          <w:bCs w:val="1"/>
          <w:sz w:val="20"/>
          <w:szCs w:val="20"/>
          <w:rtl w:val="0"/>
          <w:lang w:val="fr-FR"/>
        </w:rPr>
        <w:t>Dec 2015</w:t>
      </w:r>
      <w:r>
        <w:rPr>
          <w:rFonts w:ascii="Times New Roman" w:cs="Times New Roman" w:hAnsi="Times New Roman" w:eastAsia="Times New Roman"/>
          <w:b w:val="1"/>
          <w:bCs w:val="1"/>
          <w:sz w:val="20"/>
          <w:szCs w:val="20"/>
        </w:rPr>
        <w:br w:type="textWrapping"/>
      </w:r>
      <w:r>
        <w:rPr>
          <w:rFonts w:ascii="Times New Roman" w:hAnsi="Times New Roman"/>
          <w:b w:val="1"/>
          <w:bCs w:val="1"/>
          <w:sz w:val="20"/>
          <w:szCs w:val="20"/>
          <w:rtl w:val="0"/>
          <w:lang w:val="it-IT"/>
        </w:rPr>
        <w:t>Role:</w:t>
      </w:r>
      <w:r>
        <w:rPr>
          <w:rFonts w:ascii="Times New Roman" w:hAnsi="Times New Roman"/>
          <w:sz w:val="20"/>
          <w:szCs w:val="20"/>
          <w:rtl w:val="0"/>
          <w:lang w:val="en-US"/>
        </w:rPr>
        <w:t xml:space="preserve"> Linux System Administrator</w:t>
      </w:r>
    </w:p>
    <w:p>
      <w:pPr>
        <w:pStyle w:val="Body"/>
        <w:rPr>
          <w:rFonts w:ascii="Times New Roman" w:cs="Times New Roman" w:hAnsi="Times New Roman" w:eastAsia="Times New Roman"/>
          <w:b w:val="1"/>
          <w:bCs w:val="1"/>
        </w:rPr>
      </w:pPr>
      <w:r>
        <w:rPr>
          <w:rFonts w:ascii="Times New Roman" w:hAnsi="Times New Roman"/>
          <w:b w:val="1"/>
          <w:bCs w:val="1"/>
          <w:rtl w:val="0"/>
          <w:lang w:val="en-US"/>
        </w:rPr>
        <w:t xml:space="preserve">Responsibilities: </w:t>
      </w:r>
    </w:p>
    <w:p>
      <w:pPr>
        <w:pStyle w:val="Body"/>
        <w:numPr>
          <w:ilvl w:val="0"/>
          <w:numId w:val="18"/>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Supported enterprise LAN/WAN networking infrastructure connecting regional offices, claims centers, and corporate facilities.</w:t>
      </w:r>
    </w:p>
    <w:p>
      <w:pPr>
        <w:pStyle w:val="Body"/>
        <w:numPr>
          <w:ilvl w:val="0"/>
          <w:numId w:val="18"/>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 xml:space="preserve">Installed, Upgraded and configured of Solaris, Red Hat Linux RHEL 3.x, 4.x and Windows server. </w:t>
      </w:r>
    </w:p>
    <w:p>
      <w:pPr>
        <w:pStyle w:val="Body"/>
        <w:numPr>
          <w:ilvl w:val="0"/>
          <w:numId w:val="18"/>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Created users, Groups and setup their home directories and appropriate access restrictions to software in the Active Directory environment and NIS domains.</w:t>
      </w:r>
    </w:p>
    <w:p>
      <w:pPr>
        <w:pStyle w:val="Body"/>
        <w:numPr>
          <w:ilvl w:val="0"/>
          <w:numId w:val="18"/>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 xml:space="preserve">Managed performance of the server and resolved issues with Virtual Memory and swap space on operating environments and configured &amp; monitored DHCP server. </w:t>
      </w:r>
    </w:p>
    <w:p>
      <w:pPr>
        <w:pStyle w:val="Body"/>
        <w:numPr>
          <w:ilvl w:val="0"/>
          <w:numId w:val="18"/>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 xml:space="preserve">Remotely coped files using SFTP, FTP, SCP, WinSCP, and FileZilla and involved in Log management like monitoring and cleaning the old log files. </w:t>
      </w:r>
    </w:p>
    <w:p>
      <w:pPr>
        <w:pStyle w:val="Body"/>
        <w:numPr>
          <w:ilvl w:val="0"/>
          <w:numId w:val="18"/>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 xml:space="preserve">Configured and administered DNS (Bind on Linux), Web (Apache), Mail (Exchange 2003), DHCP and FTP Servers. </w:t>
      </w:r>
    </w:p>
    <w:p>
      <w:pPr>
        <w:pStyle w:val="Body"/>
        <w:numPr>
          <w:ilvl w:val="0"/>
          <w:numId w:val="18"/>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 xml:space="preserve">Installed, configured, supported and security implementation on following service </w:t>
      </w:r>
    </w:p>
    <w:p>
      <w:pPr>
        <w:pStyle w:val="Body"/>
        <w:numPr>
          <w:ilvl w:val="0"/>
          <w:numId w:val="18"/>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 xml:space="preserve">SSH: Configuring Servers, password-less authentication configuration. </w:t>
      </w:r>
    </w:p>
    <w:p>
      <w:pPr>
        <w:pStyle w:val="Body"/>
        <w:numPr>
          <w:ilvl w:val="0"/>
          <w:numId w:val="18"/>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 xml:space="preserve">NIS: Server and client configuration. </w:t>
      </w:r>
    </w:p>
    <w:p>
      <w:pPr>
        <w:pStyle w:val="Body"/>
        <w:numPr>
          <w:ilvl w:val="0"/>
          <w:numId w:val="18"/>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 xml:space="preserve">DNS: Server configuration and maintenance. </w:t>
      </w:r>
    </w:p>
    <w:p>
      <w:pPr>
        <w:pStyle w:val="Body"/>
        <w:numPr>
          <w:ilvl w:val="0"/>
          <w:numId w:val="18"/>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HTTPD: Apache web server maintenance, installation, configuration, managing web hosting including name-based, Secure and private site, monitoring web server performance, certificate generate, security checks and periodic upgrades, manage user accounts, back up.</w:t>
      </w:r>
    </w:p>
    <w:p>
      <w:pPr>
        <w:pStyle w:val="Body"/>
        <w:numPr>
          <w:ilvl w:val="0"/>
          <w:numId w:val="18"/>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Aided in TCP/IP Networking troubleshooting and Linux Network Administration.</w:t>
      </w:r>
    </w:p>
    <w:p>
      <w:pPr>
        <w:pStyle w:val="Body"/>
        <w:numPr>
          <w:ilvl w:val="0"/>
          <w:numId w:val="18"/>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 xml:space="preserve">Implemented and maintained server virtualization using VMware and Oracle Virtual Manager. </w:t>
      </w:r>
    </w:p>
    <w:p>
      <w:pPr>
        <w:pStyle w:val="Body"/>
        <w:numPr>
          <w:ilvl w:val="0"/>
          <w:numId w:val="18"/>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Coordinated with application team in installation, configuration and troubleshoot issues with Tomcat server.</w:t>
      </w:r>
    </w:p>
    <w:p>
      <w:pPr>
        <w:pStyle w:val="Body"/>
        <w:numPr>
          <w:ilvl w:val="0"/>
          <w:numId w:val="18"/>
        </w:numPr>
        <w:bidi w:val="0"/>
        <w:spacing w:after="0" w:line="240" w:lineRule="auto"/>
        <w:ind w:right="0"/>
        <w:jc w:val="left"/>
        <w:rPr>
          <w:rFonts w:ascii="Times New Roman" w:hAnsi="Times New Roman"/>
          <w:sz w:val="20"/>
          <w:szCs w:val="20"/>
          <w:rtl w:val="0"/>
          <w:lang w:val="en-US"/>
        </w:rPr>
      </w:pPr>
      <w:r>
        <w:rPr>
          <w:rFonts w:ascii="Times New Roman" w:hAnsi="Times New Roman"/>
          <w:sz w:val="20"/>
          <w:szCs w:val="20"/>
          <w:rtl w:val="0"/>
          <w:lang w:val="en-US"/>
        </w:rPr>
        <w:t>Created virtual machine using Oracle Virtual Manager, creating server pool, VM cloning. Conceived, Designed, Installed and Implemented CI/CD automation system</w:t>
      </w:r>
    </w:p>
    <w:p>
      <w:pPr>
        <w:pStyle w:val="Body"/>
        <w:spacing w:after="0" w:line="240" w:lineRule="auto"/>
      </w:pPr>
      <w:r>
        <w:rPr>
          <w:rFonts w:ascii="Times New Roman" w:hAnsi="Times New Roman"/>
          <w:b w:val="1"/>
          <w:bCs w:val="1"/>
          <w:sz w:val="20"/>
          <w:szCs w:val="20"/>
          <w:rtl w:val="0"/>
          <w:lang w:val="fr-FR"/>
        </w:rPr>
        <w:t>Environment :</w:t>
      </w:r>
      <w:r>
        <w:rPr>
          <w:rFonts w:ascii="Times New Roman" w:hAnsi="Times New Roman"/>
          <w:sz w:val="20"/>
          <w:szCs w:val="20"/>
          <w:rtl w:val="0"/>
          <w:lang w:val="en-US"/>
        </w:rPr>
        <w:t xml:space="preserve"> Red Hat Linux 3.x, 4.x, Solaris, Tomcat, Windows 2000, 2003, Exchange 2003, Apache 1.3.x, IIS 5.0, 6.0 and Oracle 8i, 9i, VMware ESX, Active Directory, JBoss, FTP, SFTP.</w:t>
      </w:r>
    </w:p>
    <w:sectPr>
      <w:headerReference w:type="default" r:id="rId4"/>
      <w:footerReference w:type="default" r:id="rId5"/>
      <w:pgSz w:w="11900" w:h="16840" w:orient="portrait"/>
      <w:pgMar w:top="720" w:right="720" w:bottom="720" w:left="720" w:header="708" w:footer="708"/>
      <w:pgNumType w:start="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ind w:left="720"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Imported Style 3"/>
  </w:abstractNum>
  <w:abstractNum w:abstractNumId="5">
    <w:multiLevelType w:val="hybridMultilevel"/>
    <w:styleLink w:val="Imported Style 3"/>
    <w:lvl w:ilvl="0">
      <w:start w:val="1"/>
      <w:numFmt w:val="bullet"/>
      <w:suff w:val="tab"/>
      <w:lvlText w:val="●"/>
      <w:lvlJc w:val="left"/>
      <w:pPr>
        <w:ind w:left="720"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multiLevelType w:val="hybridMultilevel"/>
    <w:numStyleLink w:val="Imported Style 4"/>
  </w:abstractNum>
  <w:abstractNum w:abstractNumId="7">
    <w:multiLevelType w:val="hybridMultilevel"/>
    <w:styleLink w:val="Imported Style 4"/>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multiLevelType w:val="hybridMultilevel"/>
    <w:numStyleLink w:val="Imported Style 5"/>
  </w:abstractNum>
  <w:abstractNum w:abstractNumId="9">
    <w:multiLevelType w:val="hybridMultilevel"/>
    <w:styleLink w:val="Imported Style 5"/>
    <w:lvl w:ilvl="0">
      <w:start w:val="1"/>
      <w:numFmt w:val="bullet"/>
      <w:suff w:val="tab"/>
      <w:lvlText w:val="●"/>
      <w:lvlJc w:val="left"/>
      <w:pPr>
        <w:ind w:left="720"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multiLevelType w:val="hybridMultilevel"/>
    <w:numStyleLink w:val="Imported Style 6"/>
  </w:abstractNum>
  <w:abstractNum w:abstractNumId="11">
    <w:multiLevelType w:val="hybridMultilevel"/>
    <w:styleLink w:val="Imported Style 6"/>
    <w:lvl w:ilvl="0">
      <w:start w:val="1"/>
      <w:numFmt w:val="bullet"/>
      <w:suff w:val="tab"/>
      <w:lvlText w:val="·"/>
      <w:lvlJc w:val="left"/>
      <w:pPr>
        <w:ind w:left="10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8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5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32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9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6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40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61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8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multiLevelType w:val="hybridMultilevel"/>
    <w:numStyleLink w:val="Imported Style 7"/>
  </w:abstractNum>
  <w:abstractNum w:abstractNumId="13">
    <w:multiLevelType w:val="hybridMultilevel"/>
    <w:styleLink w:val="Imported Style 7"/>
    <w:lvl w:ilvl="0">
      <w:start w:val="1"/>
      <w:numFmt w:val="bullet"/>
      <w:suff w:val="tab"/>
      <w:lvlText w:val="●"/>
      <w:lvlJc w:val="left"/>
      <w:pPr>
        <w:ind w:left="720"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multiLevelType w:val="hybridMultilevel"/>
    <w:numStyleLink w:val="Imported Style 8"/>
  </w:abstractNum>
  <w:abstractNum w:abstractNumId="15">
    <w:multiLevelType w:val="hybridMultilevel"/>
    <w:styleLink w:val="Imported Style 8"/>
    <w:lvl w:ilvl="0">
      <w:start w:val="1"/>
      <w:numFmt w:val="bullet"/>
      <w:suff w:val="tab"/>
      <w:lvlText w:val="●"/>
      <w:lvlJc w:val="left"/>
      <w:pPr>
        <w:ind w:left="720"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multiLevelType w:val="hybridMultilevel"/>
    <w:numStyleLink w:val="Imported Style 9"/>
  </w:abstractNum>
  <w:abstractNum w:abstractNumId="17">
    <w:multiLevelType w:val="hybridMultilevel"/>
    <w:styleLink w:val="Imported Style 9"/>
    <w:lvl w:ilvl="0">
      <w:start w:val="1"/>
      <w:numFmt w:val="bullet"/>
      <w:suff w:val="tab"/>
      <w:lvlText w:val="●"/>
      <w:lvlJc w:val="left"/>
      <w:pPr>
        <w:ind w:left="720"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5"/>
  </w:num>
  <w:num w:numId="6">
    <w:abstractNumId w:val="4"/>
  </w:num>
  <w:num w:numId="7">
    <w:abstractNumId w:val="7"/>
  </w:num>
  <w:num w:numId="8">
    <w:abstractNumId w:val="6"/>
  </w:num>
  <w:num w:numId="9">
    <w:abstractNumId w:val="9"/>
  </w:num>
  <w:num w:numId="10">
    <w:abstractNumId w:val="8"/>
  </w:num>
  <w:num w:numId="11">
    <w:abstractNumId w:val="11"/>
  </w:num>
  <w:num w:numId="12">
    <w:abstractNumId w:val="10"/>
  </w:num>
  <w:num w:numId="13">
    <w:abstractNumId w:val="13"/>
  </w:num>
  <w:num w:numId="14">
    <w:abstractNumId w:val="12"/>
  </w:num>
  <w:num w:numId="15">
    <w:abstractNumId w:val="15"/>
  </w:num>
  <w:num w:numId="16">
    <w:abstractNumId w:val="14"/>
  </w:num>
  <w:num w:numId="17">
    <w:abstractNumId w:val="17"/>
  </w:num>
  <w:num w:numId="18">
    <w:abstractNumId w:val="16"/>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Outline>
        <w14:noFill/>
      </w14:textOutline>
      <w14:textFill>
        <w14:solidFill>
          <w14:srgbClr w14:val="000000"/>
        </w14:solidFill>
      </w14:textFill>
    </w:rPr>
  </w:style>
  <w:style w:type="numbering" w:styleId="Imported Style 1">
    <w:name w:val="Imported Style 1"/>
    <w:pPr>
      <w:numPr>
        <w:numId w:val="1"/>
      </w:numPr>
    </w:p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0" w:line="240" w:lineRule="auto"/>
      <w:ind w:left="72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numbering" w:styleId="Imported Style 2">
    <w:name w:val="Imported Style 2"/>
    <w:pPr>
      <w:numPr>
        <w:numId w:val="3"/>
      </w:numPr>
    </w:pPr>
  </w:style>
  <w:style w:type="numbering" w:styleId="Imported Style 3">
    <w:name w:val="Imported Style 3"/>
    <w:pPr>
      <w:numPr>
        <w:numId w:val="5"/>
      </w:numPr>
    </w:pPr>
  </w:style>
  <w:style w:type="numbering" w:styleId="Imported Style 4">
    <w:name w:val="Imported Style 4"/>
    <w:pPr>
      <w:numPr>
        <w:numId w:val="7"/>
      </w:numPr>
    </w:pPr>
  </w:style>
  <w:style w:type="numbering" w:styleId="Imported Style 5">
    <w:name w:val="Imported Style 5"/>
    <w:pPr>
      <w:numPr>
        <w:numId w:val="9"/>
      </w:numPr>
    </w:pPr>
  </w:style>
  <w:style w:type="numbering" w:styleId="Imported Style 6">
    <w:name w:val="Imported Style 6"/>
    <w:pPr>
      <w:numPr>
        <w:numId w:val="11"/>
      </w:numPr>
    </w:pPr>
  </w:style>
  <w:style w:type="numbering" w:styleId="Imported Style 7">
    <w:name w:val="Imported Style 7"/>
    <w:pPr>
      <w:numPr>
        <w:numId w:val="13"/>
      </w:numPr>
    </w:pPr>
  </w:style>
  <w:style w:type="numbering" w:styleId="Imported Style 8">
    <w:name w:val="Imported Style 8"/>
    <w:pPr>
      <w:numPr>
        <w:numId w:val="15"/>
      </w:numPr>
    </w:pPr>
  </w:style>
  <w:style w:type="numbering" w:styleId="Imported Style 9">
    <w:name w:val="Imported Style 9"/>
    <w:pPr>
      <w:numPr>
        <w:numId w:val="17"/>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