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D2A5" w14:textId="77777777" w:rsidR="00FF1F59" w:rsidRDefault="00000000">
      <w:pPr>
        <w:spacing w:after="0" w:line="259" w:lineRule="auto"/>
        <w:ind w:left="0" w:firstLine="0"/>
        <w:jc w:val="center"/>
      </w:pPr>
      <w:r>
        <w:rPr>
          <w:b/>
          <w:color w:val="1F4E79"/>
          <w:sz w:val="32"/>
        </w:rPr>
        <w:t>CHIRAG JOBANPUTRA</w:t>
      </w:r>
      <w:r>
        <w:rPr>
          <w:sz w:val="21"/>
        </w:rPr>
        <w:t xml:space="preserve"> </w:t>
      </w:r>
    </w:p>
    <w:p w14:paraId="629D0591" w14:textId="1F177EAF" w:rsidR="00FF1F59" w:rsidRDefault="00244DE0">
      <w:pPr>
        <w:spacing w:after="90" w:line="259" w:lineRule="auto"/>
        <w:ind w:left="0" w:firstLine="0"/>
        <w:jc w:val="center"/>
      </w:pPr>
      <w:r w:rsidRPr="00244DE0">
        <w:rPr>
          <w:color w:val="444444"/>
          <w:sz w:val="19"/>
        </w:rPr>
        <w:t>(669) 200-0639</w:t>
      </w:r>
      <w:r>
        <w:rPr>
          <w:color w:val="444444"/>
          <w:sz w:val="19"/>
        </w:rPr>
        <w:t xml:space="preserve"> •  </w:t>
      </w:r>
      <w:hyperlink r:id="rId5" w:history="1">
        <w:r w:rsidRPr="00244DE0">
          <w:rPr>
            <w:color w:val="222222"/>
          </w:rPr>
          <w:t>saipavan@nextgentechinc.com</w:t>
        </w:r>
      </w:hyperlink>
      <w:r w:rsidRPr="00244DE0">
        <w:rPr>
          <w:color w:val="222222"/>
        </w:rPr>
        <w:t xml:space="preserve"> •</w:t>
      </w:r>
      <w:r>
        <w:rPr>
          <w:color w:val="444444"/>
          <w:sz w:val="19"/>
        </w:rPr>
        <w:t xml:space="preserve">  </w:t>
      </w:r>
      <w:hyperlink r:id="rId6">
        <w:r>
          <w:rPr>
            <w:color w:val="0563C1"/>
            <w:sz w:val="19"/>
            <w:u w:val="single" w:color="0563C1"/>
          </w:rPr>
          <w:t>LinkedIn</w:t>
        </w:r>
      </w:hyperlink>
      <w:r>
        <w:rPr>
          <w:color w:val="444444"/>
          <w:sz w:val="19"/>
        </w:rPr>
        <w:t xml:space="preserve">  •  BS + MS in Computer Engineering</w:t>
      </w:r>
      <w:r>
        <w:rPr>
          <w:sz w:val="21"/>
        </w:rPr>
        <w:t xml:space="preserve"> </w:t>
      </w:r>
    </w:p>
    <w:p w14:paraId="3CEB6EA8" w14:textId="77777777" w:rsidR="00FF1F59" w:rsidRDefault="00000000">
      <w:pPr>
        <w:spacing w:after="175" w:line="236" w:lineRule="auto"/>
        <w:ind w:left="0" w:firstLine="0"/>
        <w:jc w:val="left"/>
      </w:pPr>
      <w:r>
        <w:rPr>
          <w:color w:val="222222"/>
        </w:rPr>
        <w:t>Engineer with 14+ years of building resilient, time-tested revenue-critical systems. Full-stack experience with microservices, data engineering, cloud-native systems (AWS, GCP), Kubernetes, observability, CI/CD. Comfortable with extreme ambiguity</w:t>
      </w:r>
      <w:r>
        <w:t>.</w:t>
      </w:r>
      <w:r>
        <w:rPr>
          <w:sz w:val="21"/>
        </w:rPr>
        <w:t xml:space="preserve"> </w:t>
      </w:r>
    </w:p>
    <w:p w14:paraId="2F00FAD9" w14:textId="77777777" w:rsidR="00FF1F59" w:rsidRDefault="00000000">
      <w:pPr>
        <w:pStyle w:val="Heading1"/>
        <w:ind w:left="-5"/>
      </w:pPr>
      <w:r>
        <w:t>SKILLS</w:t>
      </w:r>
      <w:r>
        <w:rPr>
          <w:b w:val="0"/>
          <w:color w:val="000000"/>
          <w:sz w:val="21"/>
        </w:rPr>
        <w:t xml:space="preserve"> </w:t>
      </w:r>
    </w:p>
    <w:p w14:paraId="53A42C2D" w14:textId="77777777" w:rsidR="00FF1F59" w:rsidRDefault="00000000">
      <w:pPr>
        <w:spacing w:after="103" w:line="259" w:lineRule="auto"/>
        <w:ind w:left="0" w:firstLine="0"/>
        <w:jc w:val="left"/>
      </w:pPr>
      <w:r>
        <w:rPr>
          <w:noProof/>
          <w:sz w:val="22"/>
        </w:rPr>
        <mc:AlternateContent>
          <mc:Choice Requires="wpg">
            <w:drawing>
              <wp:inline distT="0" distB="0" distL="0" distR="0" wp14:anchorId="686220F3" wp14:editId="1796F3AB">
                <wp:extent cx="6629400" cy="12700"/>
                <wp:effectExtent l="0" t="0" r="0" b="0"/>
                <wp:docPr id="10952" name="Group 10952"/>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7" name="Shape 7"/>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F4E7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2" style="width:522pt;height:1pt;mso-position-horizontal-relative:char;mso-position-vertical-relative:line" coordsize="66294,127">
                <v:shape id="Shape 7" style="position:absolute;width:66294;height:0;left:0;top:0;" coordsize="6629400,0" path="m0,0l6629400,0">
                  <v:stroke weight="1pt" endcap="flat" joinstyle="miter" miterlimit="10" on="true" color="#1f4e79"/>
                  <v:fill on="false" color="#000000" opacity="0"/>
                </v:shape>
              </v:group>
            </w:pict>
          </mc:Fallback>
        </mc:AlternateContent>
      </w:r>
    </w:p>
    <w:p w14:paraId="5C3F8FEA" w14:textId="77777777" w:rsidR="00FF1F59" w:rsidRDefault="00000000">
      <w:pPr>
        <w:ind w:left="0" w:firstLine="0"/>
      </w:pPr>
      <w:r>
        <w:rPr>
          <w:b/>
        </w:rPr>
        <w:t xml:space="preserve">Languages: </w:t>
      </w:r>
      <w:r>
        <w:t>Java, Python, Go, C/C++, JavaScript/TypeScript</w:t>
      </w:r>
      <w:r>
        <w:rPr>
          <w:sz w:val="21"/>
        </w:rPr>
        <w:t xml:space="preserve"> </w:t>
      </w:r>
    </w:p>
    <w:p w14:paraId="0D80EE7C" w14:textId="77777777" w:rsidR="00FF1F59" w:rsidRDefault="00000000">
      <w:pPr>
        <w:ind w:left="0" w:firstLine="0"/>
      </w:pPr>
      <w:r>
        <w:rPr>
          <w:b/>
        </w:rPr>
        <w:t xml:space="preserve">Cloud &amp; Infra: </w:t>
      </w:r>
      <w:r>
        <w:t>AWS, GCP, Kubernetes, Docker, Terraform</w:t>
      </w:r>
      <w:r>
        <w:rPr>
          <w:sz w:val="21"/>
        </w:rPr>
        <w:t xml:space="preserve"> </w:t>
      </w:r>
    </w:p>
    <w:p w14:paraId="2649C2CC" w14:textId="77777777" w:rsidR="00FF1F59" w:rsidRDefault="00000000">
      <w:pPr>
        <w:ind w:left="0" w:firstLine="0"/>
      </w:pPr>
      <w:r>
        <w:rPr>
          <w:b/>
        </w:rPr>
        <w:t xml:space="preserve">Frameworks: </w:t>
      </w:r>
      <w:r>
        <w:t xml:space="preserve">Spring Boot, Flask, Django, </w:t>
      </w:r>
      <w:proofErr w:type="spellStart"/>
      <w:r>
        <w:t>FastAPI</w:t>
      </w:r>
      <w:proofErr w:type="spellEnd"/>
      <w:r>
        <w:t>, Angular</w:t>
      </w:r>
      <w:r>
        <w:rPr>
          <w:sz w:val="21"/>
        </w:rPr>
        <w:t xml:space="preserve"> </w:t>
      </w:r>
    </w:p>
    <w:p w14:paraId="76C2C4FA" w14:textId="77777777" w:rsidR="00FF1F59" w:rsidRDefault="00000000">
      <w:pPr>
        <w:ind w:left="0" w:firstLine="0"/>
      </w:pPr>
      <w:r>
        <w:rPr>
          <w:b/>
        </w:rPr>
        <w:t xml:space="preserve">Data &amp; Messaging: </w:t>
      </w:r>
      <w:r>
        <w:t xml:space="preserve">PostgreSQL, MySQL, Oracle, Spanner, </w:t>
      </w:r>
      <w:proofErr w:type="spellStart"/>
      <w:r>
        <w:t>BigQuery</w:t>
      </w:r>
      <w:proofErr w:type="spellEnd"/>
      <w:r>
        <w:t>, Redis, Cassandra, Kafka</w:t>
      </w:r>
      <w:r>
        <w:rPr>
          <w:sz w:val="21"/>
        </w:rPr>
        <w:t xml:space="preserve"> </w:t>
      </w:r>
    </w:p>
    <w:p w14:paraId="290BA5DB" w14:textId="77777777" w:rsidR="00FF1F59" w:rsidRDefault="00000000">
      <w:pPr>
        <w:ind w:left="0" w:firstLine="0"/>
      </w:pPr>
      <w:r>
        <w:rPr>
          <w:b/>
        </w:rPr>
        <w:t xml:space="preserve">Data Processing: </w:t>
      </w:r>
      <w:r>
        <w:t xml:space="preserve">Apache Beam, Spark, Flume, GCP-Dataflow, Databricks, </w:t>
      </w:r>
      <w:proofErr w:type="spellStart"/>
      <w:r>
        <w:t>dbt</w:t>
      </w:r>
      <w:proofErr w:type="spellEnd"/>
      <w:r>
        <w:rPr>
          <w:sz w:val="21"/>
        </w:rPr>
        <w:t xml:space="preserve"> </w:t>
      </w:r>
    </w:p>
    <w:p w14:paraId="3EE67FED" w14:textId="77777777" w:rsidR="00FF1F59" w:rsidRDefault="00000000">
      <w:pPr>
        <w:spacing w:after="160"/>
        <w:ind w:left="0" w:right="4385" w:firstLine="0"/>
      </w:pPr>
      <w:r>
        <w:rPr>
          <w:b/>
        </w:rPr>
        <w:t xml:space="preserve">Observability &amp; Ops: </w:t>
      </w:r>
      <w:r>
        <w:t>New Relic, Datadog, Prometheus, Grafana, Jenkins</w:t>
      </w:r>
      <w:r>
        <w:rPr>
          <w:sz w:val="21"/>
        </w:rPr>
        <w:t xml:space="preserve"> </w:t>
      </w:r>
      <w:r>
        <w:rPr>
          <w:b/>
        </w:rPr>
        <w:t xml:space="preserve">AI Engineering: </w:t>
      </w:r>
      <w:r>
        <w:t xml:space="preserve">Vertex AI, </w:t>
      </w:r>
      <w:proofErr w:type="spellStart"/>
      <w:r>
        <w:t>LangChain</w:t>
      </w:r>
      <w:proofErr w:type="spellEnd"/>
      <w:r>
        <w:t>, Scikit-learn, Claude</w:t>
      </w:r>
      <w:r>
        <w:rPr>
          <w:sz w:val="21"/>
        </w:rPr>
        <w:t xml:space="preserve"> </w:t>
      </w:r>
    </w:p>
    <w:p w14:paraId="2BC677DF" w14:textId="77777777" w:rsidR="00FF1F59" w:rsidRDefault="00000000">
      <w:pPr>
        <w:pStyle w:val="Heading1"/>
        <w:ind w:left="-5"/>
      </w:pPr>
      <w:r>
        <w:t>EXPERIENCE</w:t>
      </w:r>
      <w:r>
        <w:rPr>
          <w:b w:val="0"/>
          <w:color w:val="000000"/>
          <w:sz w:val="21"/>
        </w:rPr>
        <w:t xml:space="preserve"> </w:t>
      </w:r>
    </w:p>
    <w:p w14:paraId="77F17881" w14:textId="77777777" w:rsidR="00FF1F59" w:rsidRDefault="00000000">
      <w:pPr>
        <w:spacing w:after="133" w:line="259" w:lineRule="auto"/>
        <w:ind w:left="0" w:firstLine="0"/>
        <w:jc w:val="left"/>
      </w:pPr>
      <w:r>
        <w:rPr>
          <w:noProof/>
          <w:sz w:val="22"/>
        </w:rPr>
        <mc:AlternateContent>
          <mc:Choice Requires="wpg">
            <w:drawing>
              <wp:inline distT="0" distB="0" distL="0" distR="0" wp14:anchorId="150E99C7" wp14:editId="6C2E12AD">
                <wp:extent cx="6629400" cy="12700"/>
                <wp:effectExtent l="0" t="0" r="0" b="0"/>
                <wp:docPr id="10953" name="Group 10953"/>
                <wp:cNvGraphicFramePr/>
                <a:graphic xmlns:a="http://schemas.openxmlformats.org/drawingml/2006/main">
                  <a:graphicData uri="http://schemas.microsoft.com/office/word/2010/wordprocessingGroup">
                    <wpg:wgp>
                      <wpg:cNvGrpSpPr/>
                      <wpg:grpSpPr>
                        <a:xfrm>
                          <a:off x="0" y="0"/>
                          <a:ext cx="6629400" cy="12700"/>
                          <a:chOff x="0" y="0"/>
                          <a:chExt cx="6629400" cy="12700"/>
                        </a:xfrm>
                      </wpg:grpSpPr>
                      <wps:wsp>
                        <wps:cNvPr id="8" name="Shape 8"/>
                        <wps:cNvSpPr/>
                        <wps:spPr>
                          <a:xfrm>
                            <a:off x="0" y="0"/>
                            <a:ext cx="6629400" cy="0"/>
                          </a:xfrm>
                          <a:custGeom>
                            <a:avLst/>
                            <a:gdLst/>
                            <a:ahLst/>
                            <a:cxnLst/>
                            <a:rect l="0" t="0" r="0" b="0"/>
                            <a:pathLst>
                              <a:path w="6629400">
                                <a:moveTo>
                                  <a:pt x="0" y="0"/>
                                </a:moveTo>
                                <a:lnTo>
                                  <a:pt x="6629400" y="0"/>
                                </a:lnTo>
                              </a:path>
                            </a:pathLst>
                          </a:custGeom>
                          <a:ln w="12700" cap="flat">
                            <a:miter lim="127000"/>
                          </a:ln>
                        </wps:spPr>
                        <wps:style>
                          <a:lnRef idx="1">
                            <a:srgbClr val="1F4E7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53" style="width:522pt;height:1pt;mso-position-horizontal-relative:char;mso-position-vertical-relative:line" coordsize="66294,127">
                <v:shape id="Shape 8" style="position:absolute;width:66294;height:0;left:0;top:0;" coordsize="6629400,0" path="m0,0l6629400,0">
                  <v:stroke weight="1pt" endcap="flat" joinstyle="miter" miterlimit="10" on="true" color="#1f4e79"/>
                  <v:fill on="false" color="#000000" opacity="0"/>
                </v:shape>
              </v:group>
            </w:pict>
          </mc:Fallback>
        </mc:AlternateContent>
      </w:r>
    </w:p>
    <w:p w14:paraId="05A8EC8C" w14:textId="23913921" w:rsidR="00FF1F59" w:rsidRDefault="002343D2">
      <w:pPr>
        <w:pStyle w:val="Heading2"/>
        <w:tabs>
          <w:tab w:val="right" w:pos="10440"/>
        </w:tabs>
        <w:ind w:left="-15" w:right="-15" w:firstLine="0"/>
      </w:pPr>
      <w:r>
        <w:t>Lead. Software Engineer</w:t>
      </w:r>
      <w:r>
        <w:rPr>
          <w:b w:val="0"/>
        </w:rPr>
        <w:t>, Google</w:t>
      </w:r>
      <w:r>
        <w:rPr>
          <w:b w:val="0"/>
          <w:i/>
          <w:color w:val="555555"/>
        </w:rPr>
        <w:t xml:space="preserve"> — Sunnyvale, CA</w:t>
      </w:r>
      <w:r>
        <w:rPr>
          <w:rFonts w:ascii="Arial" w:eastAsia="Arial" w:hAnsi="Arial" w:cs="Arial"/>
          <w:b w:val="0"/>
          <w:i/>
          <w:color w:val="555555"/>
        </w:rPr>
        <w:t xml:space="preserve"> </w:t>
      </w:r>
      <w:r>
        <w:rPr>
          <w:rFonts w:ascii="Arial" w:eastAsia="Arial" w:hAnsi="Arial" w:cs="Arial"/>
          <w:b w:val="0"/>
          <w:i/>
          <w:color w:val="555555"/>
        </w:rPr>
        <w:tab/>
      </w:r>
      <w:r>
        <w:rPr>
          <w:b w:val="0"/>
          <w:i/>
          <w:color w:val="555555"/>
        </w:rPr>
        <w:t xml:space="preserve">       </w:t>
      </w:r>
      <w:r>
        <w:rPr>
          <w:b w:val="0"/>
          <w:color w:val="555555"/>
        </w:rPr>
        <w:t>2025 – Present</w:t>
      </w:r>
      <w:r>
        <w:rPr>
          <w:b w:val="0"/>
        </w:rPr>
        <w:t xml:space="preserve"> </w:t>
      </w:r>
    </w:p>
    <w:p w14:paraId="3C8757C1" w14:textId="77777777" w:rsidR="00FF1F59" w:rsidRDefault="00000000">
      <w:pPr>
        <w:spacing w:after="20"/>
        <w:ind w:left="-5" w:hanging="10"/>
      </w:pPr>
      <w:r>
        <w:rPr>
          <w:i/>
          <w:color w:val="333333"/>
        </w:rPr>
        <w:t>Contributing to the modernization of Google’s compensation and recognition platform.</w:t>
      </w:r>
      <w:r>
        <w:t xml:space="preserve"> </w:t>
      </w:r>
    </w:p>
    <w:p w14:paraId="2F3E56FD" w14:textId="77777777" w:rsidR="00FF1F59" w:rsidRDefault="00000000">
      <w:pPr>
        <w:numPr>
          <w:ilvl w:val="0"/>
          <w:numId w:val="1"/>
        </w:numPr>
        <w:ind w:hanging="225"/>
      </w:pPr>
      <w:r>
        <w:t xml:space="preserve">As a part of Google’s compensation team, working on the modernization of the payment and recognition platform. </w:t>
      </w:r>
    </w:p>
    <w:p w14:paraId="059BF384" w14:textId="77777777" w:rsidR="00FF1F59" w:rsidRDefault="00000000">
      <w:pPr>
        <w:numPr>
          <w:ilvl w:val="0"/>
          <w:numId w:val="1"/>
        </w:numPr>
        <w:ind w:hanging="225"/>
      </w:pPr>
      <w:r>
        <w:t xml:space="preserve">Designed and built a real-time bidirectional synchronization system from the ground up, prototyping approaches to ensure sub-second data consistency across legacy and modern systems during migration. </w:t>
      </w:r>
    </w:p>
    <w:p w14:paraId="4AD9CCFE" w14:textId="77777777" w:rsidR="00FF1F59" w:rsidRDefault="00000000">
      <w:pPr>
        <w:numPr>
          <w:ilvl w:val="0"/>
          <w:numId w:val="1"/>
        </w:numPr>
        <w:ind w:hanging="225"/>
      </w:pPr>
      <w:r>
        <w:t xml:space="preserve">Creating </w:t>
      </w:r>
      <w:proofErr w:type="spellStart"/>
      <w:r>
        <w:t>gRPC</w:t>
      </w:r>
      <w:proofErr w:type="spellEnd"/>
      <w:r>
        <w:t xml:space="preserve"> services while maintaining legacy systems, ensuring compliance with data governance and security. </w:t>
      </w:r>
    </w:p>
    <w:p w14:paraId="209A1566" w14:textId="77777777" w:rsidR="00FF1F59" w:rsidRDefault="00000000">
      <w:pPr>
        <w:numPr>
          <w:ilvl w:val="0"/>
          <w:numId w:val="1"/>
        </w:numPr>
        <w:spacing w:after="89"/>
        <w:ind w:hanging="225"/>
      </w:pPr>
      <w:r>
        <w:t xml:space="preserve">Collaborated on a Vertex AI prototype for AI-assisted spot bonus recommendations, ingesting synthetic signals into </w:t>
      </w:r>
      <w:proofErr w:type="spellStart"/>
      <w:r>
        <w:t>BigQuery</w:t>
      </w:r>
      <w:proofErr w:type="spellEnd"/>
      <w:r>
        <w:t xml:space="preserve"> for model experimentation.</w:t>
      </w:r>
      <w:r>
        <w:rPr>
          <w:sz w:val="21"/>
        </w:rPr>
        <w:t xml:space="preserve"> </w:t>
      </w:r>
    </w:p>
    <w:p w14:paraId="5233BDD3" w14:textId="680F3BE3" w:rsidR="00FF1F59" w:rsidRDefault="00E634BB">
      <w:pPr>
        <w:spacing w:after="20"/>
        <w:ind w:left="-5" w:hanging="10"/>
      </w:pPr>
      <w:r>
        <w:rPr>
          <w:b/>
          <w:sz w:val="21"/>
        </w:rPr>
        <w:t xml:space="preserve">Sr. Lead </w:t>
      </w:r>
      <w:r w:rsidR="00000000">
        <w:rPr>
          <w:b/>
          <w:sz w:val="21"/>
        </w:rPr>
        <w:t>Platform Engineer</w:t>
      </w:r>
      <w:r w:rsidR="00000000">
        <w:rPr>
          <w:sz w:val="21"/>
        </w:rPr>
        <w:t xml:space="preserve">, </w:t>
      </w:r>
      <w:proofErr w:type="spellStart"/>
      <w:r w:rsidR="00000000">
        <w:rPr>
          <w:sz w:val="21"/>
        </w:rPr>
        <w:t>Uniphore</w:t>
      </w:r>
      <w:proofErr w:type="spellEnd"/>
      <w:r w:rsidR="00000000">
        <w:rPr>
          <w:i/>
          <w:color w:val="555555"/>
          <w:sz w:val="21"/>
        </w:rPr>
        <w:t xml:space="preserve"> — Palo Alto, CA</w:t>
      </w:r>
      <w:r w:rsidR="00000000">
        <w:rPr>
          <w:rFonts w:ascii="Arial" w:eastAsia="Arial" w:hAnsi="Arial" w:cs="Arial"/>
          <w:i/>
          <w:color w:val="555555"/>
          <w:sz w:val="21"/>
        </w:rPr>
        <w:t xml:space="preserve"> </w:t>
      </w:r>
      <w:r w:rsidR="00000000">
        <w:rPr>
          <w:rFonts w:ascii="Arial" w:eastAsia="Arial" w:hAnsi="Arial" w:cs="Arial"/>
          <w:i/>
          <w:color w:val="555555"/>
          <w:sz w:val="21"/>
        </w:rPr>
        <w:tab/>
      </w:r>
      <w:r w:rsidR="00000000">
        <w:rPr>
          <w:color w:val="555555"/>
          <w:sz w:val="21"/>
        </w:rPr>
        <w:t>2023 – 2025</w:t>
      </w:r>
      <w:r w:rsidR="00000000">
        <w:rPr>
          <w:sz w:val="21"/>
        </w:rPr>
        <w:t xml:space="preserve"> </w:t>
      </w:r>
      <w:r w:rsidR="00000000">
        <w:rPr>
          <w:i/>
          <w:color w:val="333333"/>
        </w:rPr>
        <w:t xml:space="preserve">Drove platform-wide performance and scalability strategy for </w:t>
      </w:r>
      <w:proofErr w:type="spellStart"/>
      <w:r w:rsidR="00000000">
        <w:rPr>
          <w:i/>
          <w:color w:val="333333"/>
        </w:rPr>
        <w:t>Uniphore’s</w:t>
      </w:r>
      <w:proofErr w:type="spellEnd"/>
      <w:r w:rsidR="00000000">
        <w:rPr>
          <w:i/>
          <w:color w:val="333333"/>
        </w:rPr>
        <w:t xml:space="preserve"> flagship AI voice/video analytics products across globally distributed engineering teams.</w:t>
      </w:r>
      <w:r w:rsidR="00000000">
        <w:rPr>
          <w:sz w:val="21"/>
        </w:rPr>
        <w:t xml:space="preserve"> </w:t>
      </w:r>
    </w:p>
    <w:p w14:paraId="26062457" w14:textId="77777777" w:rsidR="00FF1F59" w:rsidRDefault="00000000">
      <w:pPr>
        <w:numPr>
          <w:ilvl w:val="0"/>
          <w:numId w:val="1"/>
        </w:numPr>
        <w:spacing w:after="17" w:line="240" w:lineRule="auto"/>
        <w:ind w:hanging="225"/>
      </w:pPr>
      <w:r>
        <w:t>Established the organization's inaugural end-to-end performance benchmarking and load/stress framework across all primary product repositories, defining baseline metrics that served as mandatory gating criteria for enterprise-level onboarding.</w:t>
      </w:r>
      <w:r>
        <w:rPr>
          <w:sz w:val="21"/>
        </w:rPr>
        <w:t xml:space="preserve"> </w:t>
      </w:r>
    </w:p>
    <w:p w14:paraId="54ACEB88" w14:textId="77777777" w:rsidR="00FF1F59" w:rsidRDefault="00000000">
      <w:pPr>
        <w:numPr>
          <w:ilvl w:val="0"/>
          <w:numId w:val="1"/>
        </w:numPr>
        <w:ind w:hanging="225"/>
      </w:pPr>
      <w:r>
        <w:t>Optimized AWS infrastructure and backend systems—including asynchronous workflows, databases, caching, and thread/connection pools—by identifying critical bottlenecks using APM tools.</w:t>
      </w:r>
      <w:r>
        <w:rPr>
          <w:sz w:val="21"/>
        </w:rPr>
        <w:t xml:space="preserve"> </w:t>
      </w:r>
    </w:p>
    <w:p w14:paraId="08D496A7" w14:textId="77777777" w:rsidR="00FF1F59" w:rsidRDefault="00000000">
      <w:pPr>
        <w:numPr>
          <w:ilvl w:val="0"/>
          <w:numId w:val="1"/>
        </w:numPr>
        <w:ind w:hanging="225"/>
      </w:pPr>
      <w:r>
        <w:t xml:space="preserve">Developed reusable </w:t>
      </w:r>
      <w:proofErr w:type="spellStart"/>
      <w:r>
        <w:t>gRPC</w:t>
      </w:r>
      <w:proofErr w:type="spellEnd"/>
      <w:r>
        <w:t xml:space="preserve"> APIs to expose core product features for external integrations.</w:t>
      </w:r>
      <w:r>
        <w:rPr>
          <w:sz w:val="21"/>
        </w:rPr>
        <w:t xml:space="preserve"> </w:t>
      </w:r>
    </w:p>
    <w:p w14:paraId="5EA43AC4" w14:textId="77777777" w:rsidR="00FF1F59" w:rsidRDefault="00000000">
      <w:pPr>
        <w:numPr>
          <w:ilvl w:val="0"/>
          <w:numId w:val="1"/>
        </w:numPr>
        <w:spacing w:after="88"/>
        <w:ind w:hanging="225"/>
      </w:pPr>
      <w:r>
        <w:t>Collaborated with executive leadership to implement performance enhancements and conducted training for global engineering teams on integrating performance best practices throughout the development lifecycle.</w:t>
      </w:r>
      <w:r>
        <w:rPr>
          <w:sz w:val="21"/>
        </w:rPr>
        <w:t xml:space="preserve"> </w:t>
      </w:r>
    </w:p>
    <w:p w14:paraId="5D6F5096" w14:textId="2B79510D" w:rsidR="00FF1F59" w:rsidRDefault="00E634BB">
      <w:pPr>
        <w:pStyle w:val="Heading2"/>
        <w:tabs>
          <w:tab w:val="right" w:pos="10440"/>
        </w:tabs>
        <w:ind w:left="-15" w:right="-15" w:firstLine="0"/>
      </w:pPr>
      <w:r>
        <w:t xml:space="preserve">Sr. </w:t>
      </w:r>
      <w:r w:rsidR="00000000">
        <w:t>Software / Platform Engineer</w:t>
      </w:r>
      <w:r w:rsidR="00000000">
        <w:rPr>
          <w:b w:val="0"/>
        </w:rPr>
        <w:t>, VMware</w:t>
      </w:r>
      <w:r w:rsidR="00000000">
        <w:rPr>
          <w:b w:val="0"/>
          <w:i/>
          <w:color w:val="555555"/>
        </w:rPr>
        <w:t xml:space="preserve"> — Palo Alto, CA</w:t>
      </w:r>
      <w:r w:rsidR="00000000">
        <w:rPr>
          <w:rFonts w:ascii="Arial" w:eastAsia="Arial" w:hAnsi="Arial" w:cs="Arial"/>
          <w:b w:val="0"/>
          <w:i/>
          <w:color w:val="555555"/>
        </w:rPr>
        <w:t xml:space="preserve"> </w:t>
      </w:r>
      <w:r w:rsidR="00000000">
        <w:rPr>
          <w:rFonts w:ascii="Arial" w:eastAsia="Arial" w:hAnsi="Arial" w:cs="Arial"/>
          <w:b w:val="0"/>
          <w:i/>
          <w:color w:val="555555"/>
        </w:rPr>
        <w:tab/>
      </w:r>
      <w:r w:rsidR="00000000">
        <w:rPr>
          <w:b w:val="0"/>
          <w:i/>
          <w:color w:val="555555"/>
        </w:rPr>
        <w:t xml:space="preserve"> </w:t>
      </w:r>
      <w:r w:rsidR="00000000">
        <w:rPr>
          <w:b w:val="0"/>
          <w:color w:val="555555"/>
        </w:rPr>
        <w:t>2020 – 2023</w:t>
      </w:r>
      <w:r w:rsidR="00000000">
        <w:rPr>
          <w:b w:val="0"/>
        </w:rPr>
        <w:t xml:space="preserve"> </w:t>
      </w:r>
    </w:p>
    <w:p w14:paraId="12736D1A" w14:textId="77777777" w:rsidR="00FF1F59" w:rsidRDefault="00000000">
      <w:pPr>
        <w:spacing w:after="20"/>
        <w:ind w:left="-5" w:hanging="10"/>
      </w:pPr>
      <w:r>
        <w:rPr>
          <w:i/>
          <w:color w:val="333333"/>
        </w:rPr>
        <w:t>Drove reliability, compliance, and cost-efficiency for VMware Cloud Management Business Unit platforms collectively powering $2B+ in annual revenue (</w:t>
      </w:r>
      <w:proofErr w:type="spellStart"/>
      <w:r>
        <w:rPr>
          <w:i/>
          <w:color w:val="333333"/>
        </w:rPr>
        <w:t>vRealize</w:t>
      </w:r>
      <w:proofErr w:type="spellEnd"/>
      <w:r>
        <w:rPr>
          <w:i/>
          <w:color w:val="333333"/>
        </w:rPr>
        <w:t>/Aria Operations, Log Insight, Tanzu).</w:t>
      </w:r>
      <w:r>
        <w:rPr>
          <w:sz w:val="21"/>
        </w:rPr>
        <w:t xml:space="preserve"> </w:t>
      </w:r>
    </w:p>
    <w:p w14:paraId="712D336B" w14:textId="77777777" w:rsidR="00FF1F59" w:rsidRDefault="00000000">
      <w:pPr>
        <w:numPr>
          <w:ilvl w:val="0"/>
          <w:numId w:val="2"/>
        </w:numPr>
        <w:ind w:hanging="225"/>
      </w:pPr>
      <w:r>
        <w:t>Co-built the Incident Management portal (Python/Django/Angular), adopted across CMBU teams. Co-built the Magnetism customer-onboarding service (Java/Spring/Angular).</w:t>
      </w:r>
      <w:r>
        <w:rPr>
          <w:sz w:val="21"/>
        </w:rPr>
        <w:t xml:space="preserve"> </w:t>
      </w:r>
    </w:p>
    <w:p w14:paraId="6E1A79D1" w14:textId="77777777" w:rsidR="00FF1F59" w:rsidRDefault="00000000">
      <w:pPr>
        <w:numPr>
          <w:ilvl w:val="0"/>
          <w:numId w:val="2"/>
        </w:numPr>
        <w:ind w:hanging="225"/>
      </w:pPr>
      <w:r>
        <w:t xml:space="preserve">Provisioned AWS/EKS environments for global teams; co-built fully automated Jenkins CI/CD pipelines enabling one-click global deployments and improving DORA metrics. </w:t>
      </w:r>
    </w:p>
    <w:p w14:paraId="08C04123" w14:textId="77777777" w:rsidR="00FF1F59" w:rsidRDefault="00000000">
      <w:pPr>
        <w:numPr>
          <w:ilvl w:val="0"/>
          <w:numId w:val="2"/>
        </w:numPr>
        <w:ind w:hanging="225"/>
      </w:pPr>
      <w:r>
        <w:t>Contributed to Tanzu’s FedRAMP and GDPR compliance implementation; built security controls automation and drift detection/remediation across cloud environments.</w:t>
      </w:r>
      <w:r>
        <w:rPr>
          <w:sz w:val="21"/>
        </w:rPr>
        <w:t xml:space="preserve"> </w:t>
      </w:r>
    </w:p>
    <w:p w14:paraId="528F9915" w14:textId="77777777" w:rsidR="00FF1F59" w:rsidRDefault="00000000">
      <w:pPr>
        <w:numPr>
          <w:ilvl w:val="0"/>
          <w:numId w:val="2"/>
        </w:numPr>
        <w:ind w:hanging="225"/>
      </w:pPr>
      <w:r>
        <w:t xml:space="preserve">Spearheaded rightsizing and operational optimization across CMBU services using </w:t>
      </w:r>
      <w:proofErr w:type="spellStart"/>
      <w:r>
        <w:t>Kubecost</w:t>
      </w:r>
      <w:proofErr w:type="spellEnd"/>
      <w:r>
        <w:t xml:space="preserve"> and </w:t>
      </w:r>
      <w:proofErr w:type="spellStart"/>
      <w:r>
        <w:t>CloudHealth</w:t>
      </w:r>
      <w:proofErr w:type="spellEnd"/>
      <w:r>
        <w:t>, delivering $5.6M in annual cloud savings without regression in SLAs.</w:t>
      </w:r>
      <w:r>
        <w:rPr>
          <w:sz w:val="21"/>
        </w:rPr>
        <w:t xml:space="preserve"> </w:t>
      </w:r>
    </w:p>
    <w:p w14:paraId="69F08B66" w14:textId="77777777" w:rsidR="00FF1F59" w:rsidRDefault="00000000">
      <w:pPr>
        <w:numPr>
          <w:ilvl w:val="0"/>
          <w:numId w:val="2"/>
        </w:numPr>
        <w:spacing w:after="97"/>
        <w:ind w:hanging="225"/>
      </w:pPr>
      <w:r>
        <w:t xml:space="preserve">Co-led disaster recovery planning across CMBU services, contributing to multi-region strategy and incident playbooks that strengthened resilience for revenue-critical customers. </w:t>
      </w:r>
    </w:p>
    <w:p w14:paraId="4C20C0EA" w14:textId="492BC4A0" w:rsidR="00FF1F59" w:rsidRDefault="002343D2">
      <w:pPr>
        <w:spacing w:after="20"/>
        <w:ind w:left="-5" w:hanging="10"/>
      </w:pPr>
      <w:r>
        <w:rPr>
          <w:b/>
          <w:sz w:val="21"/>
        </w:rPr>
        <w:t>Sr. Software Engineer</w:t>
      </w:r>
      <w:r>
        <w:rPr>
          <w:sz w:val="21"/>
        </w:rPr>
        <w:t>, Google</w:t>
      </w:r>
      <w:r>
        <w:rPr>
          <w:i/>
          <w:color w:val="555555"/>
          <w:sz w:val="21"/>
        </w:rPr>
        <w:t xml:space="preserve"> — Sunnyvale, CA</w:t>
      </w:r>
      <w:r>
        <w:rPr>
          <w:rFonts w:ascii="Arial" w:eastAsia="Arial" w:hAnsi="Arial" w:cs="Arial"/>
          <w:i/>
          <w:color w:val="555555"/>
          <w:sz w:val="21"/>
        </w:rPr>
        <w:t xml:space="preserve"> </w:t>
      </w:r>
      <w:r>
        <w:rPr>
          <w:rFonts w:ascii="Arial" w:eastAsia="Arial" w:hAnsi="Arial" w:cs="Arial"/>
          <w:i/>
          <w:color w:val="555555"/>
          <w:sz w:val="21"/>
        </w:rPr>
        <w:tab/>
      </w:r>
      <w:r>
        <w:rPr>
          <w:color w:val="555555"/>
          <w:sz w:val="21"/>
        </w:rPr>
        <w:t>2019 – 2020</w:t>
      </w:r>
      <w:r>
        <w:rPr>
          <w:sz w:val="21"/>
        </w:rPr>
        <w:t xml:space="preserve"> </w:t>
      </w:r>
      <w:r>
        <w:rPr>
          <w:i/>
          <w:color w:val="333333"/>
        </w:rPr>
        <w:t xml:space="preserve">Owned observability and rule engine scalability across Atlas — Alphabet’s Finance data integration toolkit (rule engine, Document Processor, integration adapters, </w:t>
      </w:r>
      <w:proofErr w:type="spellStart"/>
      <w:r>
        <w:rPr>
          <w:i/>
          <w:color w:val="333333"/>
        </w:rPr>
        <w:t>Spylog</w:t>
      </w:r>
      <w:proofErr w:type="spellEnd"/>
      <w:r>
        <w:rPr>
          <w:i/>
          <w:color w:val="333333"/>
        </w:rPr>
        <w:t xml:space="preserve"> end-to-end log visualizer, and more), consolidating financial data across Bets (Waymo, Verily, and others); adopted as the org-wide Finance integration standard.</w:t>
      </w:r>
      <w:r>
        <w:rPr>
          <w:sz w:val="21"/>
        </w:rPr>
        <w:t xml:space="preserve"> </w:t>
      </w:r>
    </w:p>
    <w:p w14:paraId="1F95AA53" w14:textId="77777777" w:rsidR="00FF1F59" w:rsidRDefault="00000000">
      <w:pPr>
        <w:numPr>
          <w:ilvl w:val="0"/>
          <w:numId w:val="2"/>
        </w:numPr>
        <w:ind w:hanging="225"/>
      </w:pPr>
      <w:r>
        <w:t>Parallelized rule evaluation in the Drools-based rule engine using Replicator (Google’s internal distributed execution framework), supporting adoption beyond Finance by other Google teams running large rulesets and engineering for the team’s roadmap target of millions of rules.</w:t>
      </w:r>
      <w:r>
        <w:rPr>
          <w:sz w:val="21"/>
        </w:rPr>
        <w:t xml:space="preserve"> </w:t>
      </w:r>
    </w:p>
    <w:p w14:paraId="4BB3F969" w14:textId="77777777" w:rsidR="00FF1F59" w:rsidRDefault="00000000">
      <w:pPr>
        <w:numPr>
          <w:ilvl w:val="0"/>
          <w:numId w:val="2"/>
        </w:numPr>
        <w:ind w:hanging="225"/>
      </w:pPr>
      <w:r>
        <w:lastRenderedPageBreak/>
        <w:t xml:space="preserve">Built the observability layer — integrating </w:t>
      </w:r>
      <w:proofErr w:type="spellStart"/>
      <w:r>
        <w:t>Streamz</w:t>
      </w:r>
      <w:proofErr w:type="spellEnd"/>
      <w:r>
        <w:t xml:space="preserve">/Monarch metrics and dashboards in </w:t>
      </w:r>
      <w:proofErr w:type="spellStart"/>
      <w:r>
        <w:t>Automon</w:t>
      </w:r>
      <w:proofErr w:type="spellEnd"/>
      <w:r>
        <w:t>, Viceroy, and Python that surfaced transaction-level health and accelerated incident resolution for downstream Finance partners.</w:t>
      </w:r>
      <w:r>
        <w:rPr>
          <w:sz w:val="21"/>
        </w:rPr>
        <w:t xml:space="preserve"> </w:t>
      </w:r>
    </w:p>
    <w:p w14:paraId="52740104" w14:textId="77777777" w:rsidR="00FF1F59" w:rsidRDefault="00000000">
      <w:pPr>
        <w:numPr>
          <w:ilvl w:val="0"/>
          <w:numId w:val="2"/>
        </w:numPr>
        <w:spacing w:after="86"/>
        <w:ind w:hanging="225"/>
      </w:pPr>
      <w:r>
        <w:t>Contributed features across most Atlas components — team practice was contribute-everywhere for bus-factor resilience.</w:t>
      </w:r>
      <w:r>
        <w:rPr>
          <w:sz w:val="21"/>
        </w:rPr>
        <w:t xml:space="preserve"> </w:t>
      </w:r>
    </w:p>
    <w:p w14:paraId="4757E86B" w14:textId="77777777" w:rsidR="00FF1F59" w:rsidRDefault="00000000">
      <w:pPr>
        <w:tabs>
          <w:tab w:val="right" w:pos="10440"/>
        </w:tabs>
        <w:spacing w:after="0" w:line="259" w:lineRule="auto"/>
        <w:ind w:left="0" w:firstLine="0"/>
        <w:jc w:val="left"/>
      </w:pPr>
      <w:r>
        <w:rPr>
          <w:b/>
          <w:sz w:val="21"/>
        </w:rPr>
        <w:t>Software Engineer</w:t>
      </w:r>
      <w:r>
        <w:rPr>
          <w:sz w:val="21"/>
        </w:rPr>
        <w:t>, Location Labs (an Avast company)</w:t>
      </w:r>
      <w:r>
        <w:rPr>
          <w:i/>
          <w:color w:val="555555"/>
          <w:sz w:val="21"/>
        </w:rPr>
        <w:t xml:space="preserve"> — Emeryville, CA</w:t>
      </w:r>
      <w:r>
        <w:rPr>
          <w:rFonts w:ascii="Arial" w:eastAsia="Arial" w:hAnsi="Arial" w:cs="Arial"/>
          <w:i/>
          <w:color w:val="555555"/>
          <w:sz w:val="21"/>
        </w:rPr>
        <w:t xml:space="preserve"> </w:t>
      </w:r>
      <w:r>
        <w:rPr>
          <w:rFonts w:ascii="Arial" w:eastAsia="Arial" w:hAnsi="Arial" w:cs="Arial"/>
          <w:i/>
          <w:color w:val="555555"/>
          <w:sz w:val="21"/>
        </w:rPr>
        <w:tab/>
      </w:r>
      <w:r>
        <w:rPr>
          <w:color w:val="555555"/>
          <w:sz w:val="21"/>
        </w:rPr>
        <w:t>2018</w:t>
      </w:r>
      <w:r>
        <w:rPr>
          <w:sz w:val="21"/>
        </w:rPr>
        <w:t xml:space="preserve"> </w:t>
      </w:r>
    </w:p>
    <w:p w14:paraId="127C3547" w14:textId="77777777" w:rsidR="00FF1F59" w:rsidRDefault="00000000">
      <w:pPr>
        <w:spacing w:after="20"/>
        <w:ind w:left="-5" w:hanging="10"/>
      </w:pPr>
      <w:r>
        <w:rPr>
          <w:i/>
          <w:color w:val="333333"/>
        </w:rPr>
        <w:t>Sole engineer, then tech lead, on AT&amp;T’s carrier-grade SMS modernization — a contractually committed deliverable for a Tier-1 mobile carrier client.</w:t>
      </w:r>
      <w:r>
        <w:rPr>
          <w:sz w:val="21"/>
        </w:rPr>
        <w:t xml:space="preserve"> </w:t>
      </w:r>
    </w:p>
    <w:p w14:paraId="4214A78E" w14:textId="77777777" w:rsidR="00FF1F59" w:rsidRDefault="00000000">
      <w:pPr>
        <w:numPr>
          <w:ilvl w:val="0"/>
          <w:numId w:val="2"/>
        </w:numPr>
        <w:ind w:hanging="225"/>
      </w:pPr>
      <w:r>
        <w:t>Inherited a project scoped at “1–2 months, 1 engineer” and identified it required a full SMPP messaging stack rewrite — new library, new SSL handling, new architecture — because the legacy library was unmodifiable. Re-scoped the work and reset expectations with engineering leadership and the program team.</w:t>
      </w:r>
      <w:r>
        <w:rPr>
          <w:sz w:val="21"/>
        </w:rPr>
        <w:t xml:space="preserve"> </w:t>
      </w:r>
    </w:p>
    <w:p w14:paraId="2D6CC65B" w14:textId="77777777" w:rsidR="00FF1F59" w:rsidRDefault="00000000">
      <w:pPr>
        <w:numPr>
          <w:ilvl w:val="0"/>
          <w:numId w:val="2"/>
        </w:numPr>
        <w:ind w:hanging="225"/>
      </w:pPr>
      <w:r>
        <w:t xml:space="preserve">Designed and delivered a </w:t>
      </w:r>
      <w:proofErr w:type="spellStart"/>
      <w:r>
        <w:t>demoable</w:t>
      </w:r>
      <w:proofErr w:type="spellEnd"/>
      <w:r>
        <w:t xml:space="preserve"> carrier-grade SMPP rewrite in 3 months, working directly with the VP of Engineering (the service’s original author, years earlier as an IC). Selected the </w:t>
      </w:r>
      <w:proofErr w:type="spellStart"/>
      <w:r>
        <w:t>Cloudhopper</w:t>
      </w:r>
      <w:proofErr w:type="spellEnd"/>
      <w:r>
        <w:t xml:space="preserve"> SMPP library after evaluating available options; implemented multi-threaded message processing, low-latency delivery paths, and SSL-secured carrier integration.</w:t>
      </w:r>
      <w:r>
        <w:rPr>
          <w:sz w:val="21"/>
        </w:rPr>
        <w:t xml:space="preserve"> </w:t>
      </w:r>
    </w:p>
    <w:p w14:paraId="41026DBF" w14:textId="77777777" w:rsidR="00FF1F59" w:rsidRDefault="00000000">
      <w:pPr>
        <w:numPr>
          <w:ilvl w:val="0"/>
          <w:numId w:val="2"/>
        </w:numPr>
        <w:ind w:hanging="225"/>
      </w:pPr>
      <w:r>
        <w:t>Led the customer demo with AT&amp;T that re-anchored the program on a shared timeline; subsequently expanded to a 3-engineer team and mentored two engineers new to the SMPP/messaging stack while leveraging their deployment expertise to strengthen the delivery pipeline.</w:t>
      </w:r>
      <w:r>
        <w:rPr>
          <w:sz w:val="21"/>
        </w:rPr>
        <w:t xml:space="preserve"> </w:t>
      </w:r>
    </w:p>
    <w:p w14:paraId="15390651" w14:textId="77777777" w:rsidR="00FF1F59" w:rsidRDefault="00000000">
      <w:pPr>
        <w:numPr>
          <w:ilvl w:val="0"/>
          <w:numId w:val="2"/>
        </w:numPr>
        <w:spacing w:after="88"/>
        <w:ind w:hanging="225"/>
      </w:pPr>
      <w:r>
        <w:t>Standardized CI/CD across 80+ microservices using Kubernetes, Spinnaker, Docker, and Jenkins as part of Location Labs’ migration off its monolithic architecture.</w:t>
      </w:r>
      <w:r>
        <w:rPr>
          <w:sz w:val="21"/>
        </w:rPr>
        <w:t xml:space="preserve"> </w:t>
      </w:r>
    </w:p>
    <w:p w14:paraId="47B4014E" w14:textId="77777777" w:rsidR="00FF1F59" w:rsidRDefault="00000000">
      <w:pPr>
        <w:pStyle w:val="Heading2"/>
        <w:tabs>
          <w:tab w:val="right" w:pos="10440"/>
        </w:tabs>
        <w:ind w:left="-15" w:right="-15" w:firstLine="0"/>
      </w:pPr>
      <w:r>
        <w:t>Software Engineer</w:t>
      </w:r>
      <w:r>
        <w:rPr>
          <w:b w:val="0"/>
        </w:rPr>
        <w:t>, PayPal</w:t>
      </w:r>
      <w:r>
        <w:rPr>
          <w:b w:val="0"/>
          <w:i/>
          <w:color w:val="555555"/>
        </w:rPr>
        <w:t xml:space="preserve"> — San Jose, CA</w:t>
      </w:r>
      <w:r>
        <w:rPr>
          <w:rFonts w:ascii="Arial" w:eastAsia="Arial" w:hAnsi="Arial" w:cs="Arial"/>
          <w:b w:val="0"/>
          <w:i/>
          <w:color w:val="555555"/>
        </w:rPr>
        <w:t xml:space="preserve"> </w:t>
      </w:r>
      <w:r>
        <w:rPr>
          <w:rFonts w:ascii="Arial" w:eastAsia="Arial" w:hAnsi="Arial" w:cs="Arial"/>
          <w:b w:val="0"/>
          <w:i/>
          <w:color w:val="555555"/>
        </w:rPr>
        <w:tab/>
      </w:r>
      <w:r>
        <w:rPr>
          <w:b w:val="0"/>
          <w:color w:val="555555"/>
        </w:rPr>
        <w:t>2017 – 2018</w:t>
      </w:r>
      <w:r>
        <w:rPr>
          <w:b w:val="0"/>
        </w:rPr>
        <w:t xml:space="preserve"> </w:t>
      </w:r>
    </w:p>
    <w:p w14:paraId="5FA2E9CC" w14:textId="77777777" w:rsidR="00FF1F59" w:rsidRDefault="00000000">
      <w:pPr>
        <w:spacing w:after="20"/>
        <w:ind w:left="-5" w:hanging="10"/>
      </w:pPr>
      <w:r>
        <w:rPr>
          <w:i/>
          <w:color w:val="333333"/>
        </w:rPr>
        <w:t>Core Payments team — backend modernization of payment orchestration.</w:t>
      </w:r>
      <w:r>
        <w:rPr>
          <w:sz w:val="21"/>
        </w:rPr>
        <w:t xml:space="preserve"> </w:t>
      </w:r>
    </w:p>
    <w:p w14:paraId="07F0167F" w14:textId="77777777" w:rsidR="00FF1F59" w:rsidRDefault="00000000">
      <w:pPr>
        <w:spacing w:after="88"/>
        <w:ind w:left="355"/>
      </w:pPr>
      <w:r>
        <w:rPr>
          <w:sz w:val="21"/>
        </w:rPr>
        <w:t>•</w:t>
      </w:r>
      <w:r>
        <w:rPr>
          <w:rFonts w:ascii="Arial" w:eastAsia="Arial" w:hAnsi="Arial" w:cs="Arial"/>
          <w:sz w:val="21"/>
        </w:rPr>
        <w:t xml:space="preserve"> </w:t>
      </w:r>
      <w:r>
        <w:t xml:space="preserve">Modernized PayPal Core Payments orchestration by refactoring LMAX Disruptor ring-buffer services into </w:t>
      </w:r>
      <w:proofErr w:type="spellStart"/>
      <w:r>
        <w:t>RxJava</w:t>
      </w:r>
      <w:proofErr w:type="spellEnd"/>
      <w:r>
        <w:t xml:space="preserve"> + Spring-based services for pre-</w:t>
      </w:r>
      <w:proofErr w:type="spellStart"/>
      <w:r>
        <w:t>fulfillment</w:t>
      </w:r>
      <w:proofErr w:type="spellEnd"/>
      <w:r>
        <w:t xml:space="preserve"> payment plan flows, reducing internal latency by ~300 </w:t>
      </w:r>
      <w:proofErr w:type="spellStart"/>
      <w:r>
        <w:t>ms</w:t>
      </w:r>
      <w:proofErr w:type="spellEnd"/>
      <w:r>
        <w:t xml:space="preserve"> and increasing request throughput. The initiative laid the foundation for future roadmap features.</w:t>
      </w:r>
      <w:r>
        <w:rPr>
          <w:sz w:val="21"/>
        </w:rPr>
        <w:t xml:space="preserve"> </w:t>
      </w:r>
    </w:p>
    <w:p w14:paraId="209BC262" w14:textId="77777777" w:rsidR="00FF1F59" w:rsidRDefault="00000000">
      <w:pPr>
        <w:pStyle w:val="Heading2"/>
        <w:tabs>
          <w:tab w:val="right" w:pos="10440"/>
        </w:tabs>
        <w:ind w:left="-15" w:right="-15" w:firstLine="0"/>
      </w:pPr>
      <w:r>
        <w:t>Software / Data Engineer</w:t>
      </w:r>
      <w:r>
        <w:rPr>
          <w:b w:val="0"/>
        </w:rPr>
        <w:t>, Google</w:t>
      </w:r>
      <w:r>
        <w:rPr>
          <w:b w:val="0"/>
          <w:i/>
          <w:color w:val="555555"/>
        </w:rPr>
        <w:t xml:space="preserve"> — Mountain View, CA</w:t>
      </w:r>
      <w:r>
        <w:rPr>
          <w:rFonts w:ascii="Arial" w:eastAsia="Arial" w:hAnsi="Arial" w:cs="Arial"/>
          <w:b w:val="0"/>
          <w:i/>
          <w:color w:val="555555"/>
        </w:rPr>
        <w:t xml:space="preserve"> </w:t>
      </w:r>
      <w:r>
        <w:rPr>
          <w:rFonts w:ascii="Arial" w:eastAsia="Arial" w:hAnsi="Arial" w:cs="Arial"/>
          <w:b w:val="0"/>
          <w:i/>
          <w:color w:val="555555"/>
        </w:rPr>
        <w:tab/>
      </w:r>
      <w:r>
        <w:rPr>
          <w:b w:val="0"/>
          <w:color w:val="555555"/>
        </w:rPr>
        <w:t>2013 – 2017</w:t>
      </w:r>
      <w:r>
        <w:rPr>
          <w:b w:val="0"/>
        </w:rPr>
        <w:t xml:space="preserve"> </w:t>
      </w:r>
    </w:p>
    <w:p w14:paraId="127CDE94" w14:textId="77777777" w:rsidR="00FF1F59" w:rsidRDefault="00000000">
      <w:pPr>
        <w:spacing w:after="20"/>
        <w:ind w:left="-5" w:hanging="10"/>
      </w:pPr>
      <w:r>
        <w:rPr>
          <w:i/>
          <w:color w:val="333333"/>
        </w:rPr>
        <w:t xml:space="preserve">Co-led a two-engineer team that designed, prototyped, and shipped Asset Portal — Google Supply Chain’s end-to-end asset lifecycle platform (planning through decommissioning), built within </w:t>
      </w:r>
      <w:proofErr w:type="spellStart"/>
      <w:r>
        <w:rPr>
          <w:i/>
          <w:color w:val="333333"/>
        </w:rPr>
        <w:t>BizApps</w:t>
      </w:r>
      <w:proofErr w:type="spellEnd"/>
      <w:r>
        <w:rPr>
          <w:i/>
          <w:color w:val="333333"/>
        </w:rPr>
        <w:t>/</w:t>
      </w:r>
      <w:proofErr w:type="spellStart"/>
      <w:r>
        <w:rPr>
          <w:i/>
          <w:color w:val="333333"/>
        </w:rPr>
        <w:t>CorpEng</w:t>
      </w:r>
      <w:proofErr w:type="spellEnd"/>
      <w:r>
        <w:rPr>
          <w:i/>
          <w:color w:val="333333"/>
        </w:rPr>
        <w:t xml:space="preserve"> — saving $25M+ annually and still running in production today, nearly a decade later.</w:t>
      </w:r>
      <w:r>
        <w:rPr>
          <w:sz w:val="21"/>
        </w:rPr>
        <w:t xml:space="preserve"> </w:t>
      </w:r>
    </w:p>
    <w:p w14:paraId="5B739759" w14:textId="77777777" w:rsidR="00FF1F59" w:rsidRDefault="00000000">
      <w:pPr>
        <w:numPr>
          <w:ilvl w:val="0"/>
          <w:numId w:val="3"/>
        </w:numPr>
        <w:ind w:hanging="225"/>
      </w:pPr>
      <w:r>
        <w:t xml:space="preserve">Designed and shipped Google’s server-level decommissioning platform that shifted data </w:t>
      </w:r>
      <w:proofErr w:type="spellStart"/>
      <w:r>
        <w:t>center</w:t>
      </w:r>
      <w:proofErr w:type="spellEnd"/>
      <w:r>
        <w:t xml:space="preserve"> decommissioning from rack-level to server-level granularity — enabling individual faulty servers to be removed without retiring entire racks, reclaiming unused capacity, cooling, and power across Google’s global fleet.</w:t>
      </w:r>
      <w:r>
        <w:rPr>
          <w:sz w:val="21"/>
        </w:rPr>
        <w:t xml:space="preserve"> </w:t>
      </w:r>
    </w:p>
    <w:p w14:paraId="7C822B63" w14:textId="77777777" w:rsidR="00FF1F59" w:rsidRDefault="00000000">
      <w:pPr>
        <w:numPr>
          <w:ilvl w:val="0"/>
          <w:numId w:val="3"/>
        </w:numPr>
        <w:ind w:hanging="225"/>
      </w:pPr>
      <w:r>
        <w:t>Led an extended proof-of-concept phase integrating with 10+ systems across Supply Chain, Hardware Operations, Asset Management, and Finance — de-risking the architecture and shaping the eventual production design.</w:t>
      </w:r>
      <w:r>
        <w:rPr>
          <w:sz w:val="21"/>
        </w:rPr>
        <w:t xml:space="preserve"> </w:t>
      </w:r>
    </w:p>
    <w:p w14:paraId="28C7710C" w14:textId="77777777" w:rsidR="00FF1F59" w:rsidRDefault="00000000">
      <w:pPr>
        <w:numPr>
          <w:ilvl w:val="0"/>
          <w:numId w:val="3"/>
        </w:numPr>
        <w:ind w:hanging="225"/>
      </w:pPr>
      <w:r>
        <w:t xml:space="preserve">Designed and built the production platform: a multi-threaded Java framework for high-volume data movement; ETL/ELT pipelines spanning MySQL, </w:t>
      </w:r>
      <w:proofErr w:type="spellStart"/>
      <w:r>
        <w:t>BigQuery</w:t>
      </w:r>
      <w:proofErr w:type="spellEnd"/>
      <w:r>
        <w:t xml:space="preserve">, Dremel, </w:t>
      </w:r>
      <w:proofErr w:type="spellStart"/>
      <w:r>
        <w:t>ColumnIO</w:t>
      </w:r>
      <w:proofErr w:type="spellEnd"/>
      <w:r>
        <w:t xml:space="preserve">, and </w:t>
      </w:r>
      <w:proofErr w:type="spellStart"/>
      <w:r>
        <w:t>BigTable</w:t>
      </w:r>
      <w:proofErr w:type="spellEnd"/>
      <w:r>
        <w:t>; and a custom Pentaho-based scheduler orchestrating interdependent batch jobs across 10+ stakeholder systems.</w:t>
      </w:r>
      <w:r>
        <w:rPr>
          <w:sz w:val="21"/>
        </w:rPr>
        <w:t xml:space="preserve"> </w:t>
      </w:r>
    </w:p>
    <w:p w14:paraId="0648AB69" w14:textId="77777777" w:rsidR="00FF1F59" w:rsidRDefault="00000000">
      <w:pPr>
        <w:numPr>
          <w:ilvl w:val="0"/>
          <w:numId w:val="3"/>
        </w:numPr>
        <w:spacing w:after="88"/>
        <w:ind w:hanging="225"/>
      </w:pPr>
      <w:r>
        <w:t>Built the analytics and operations UI on Angular, App Engine, Google Dashboard, ABI, Dremel, and Tableau — visualizing decommissioning workflows, throughput, and exceptions. Originally built for server decommissioning, the platform has since evolved into Google’s asset lifecycle backbone — planning, forecasting, and asset tagging across all asset classes.</w:t>
      </w:r>
      <w:r>
        <w:rPr>
          <w:sz w:val="21"/>
        </w:rPr>
        <w:t xml:space="preserve"> </w:t>
      </w:r>
    </w:p>
    <w:p w14:paraId="2CE48AA7" w14:textId="77777777" w:rsidR="00FF1F59" w:rsidRDefault="00000000">
      <w:pPr>
        <w:pStyle w:val="Heading2"/>
        <w:tabs>
          <w:tab w:val="right" w:pos="10440"/>
        </w:tabs>
        <w:ind w:left="-15" w:right="-15" w:firstLine="0"/>
      </w:pPr>
      <w:r>
        <w:t>Software Engineer</w:t>
      </w:r>
      <w:r>
        <w:rPr>
          <w:b w:val="0"/>
        </w:rPr>
        <w:t>, Yahoo</w:t>
      </w:r>
      <w:r>
        <w:rPr>
          <w:b w:val="0"/>
          <w:i/>
          <w:color w:val="555555"/>
        </w:rPr>
        <w:t xml:space="preserve"> — Santa Clara, CA</w:t>
      </w:r>
      <w:r>
        <w:rPr>
          <w:rFonts w:ascii="Arial" w:eastAsia="Arial" w:hAnsi="Arial" w:cs="Arial"/>
          <w:b w:val="0"/>
          <w:i/>
          <w:color w:val="555555"/>
        </w:rPr>
        <w:t xml:space="preserve"> </w:t>
      </w:r>
      <w:r>
        <w:rPr>
          <w:rFonts w:ascii="Arial" w:eastAsia="Arial" w:hAnsi="Arial" w:cs="Arial"/>
          <w:b w:val="0"/>
          <w:i/>
          <w:color w:val="555555"/>
        </w:rPr>
        <w:tab/>
      </w:r>
      <w:r>
        <w:rPr>
          <w:b w:val="0"/>
          <w:color w:val="555555"/>
        </w:rPr>
        <w:t>2010 – 2012</w:t>
      </w:r>
      <w:r>
        <w:rPr>
          <w:b w:val="0"/>
        </w:rPr>
        <w:t xml:space="preserve"> </w:t>
      </w:r>
    </w:p>
    <w:p w14:paraId="56A7E249" w14:textId="77777777" w:rsidR="00FF1F59" w:rsidRDefault="00000000">
      <w:pPr>
        <w:spacing w:after="88"/>
        <w:ind w:left="355"/>
      </w:pPr>
      <w:r>
        <w:rPr>
          <w:sz w:val="21"/>
        </w:rPr>
        <w:t>•</w:t>
      </w:r>
      <w:r>
        <w:rPr>
          <w:rFonts w:ascii="Arial" w:eastAsia="Arial" w:hAnsi="Arial" w:cs="Arial"/>
          <w:sz w:val="21"/>
        </w:rPr>
        <w:t xml:space="preserve"> </w:t>
      </w:r>
      <w:r>
        <w:t>Software engineer on Yahoo!’s front page and Single Sign-On authentication and authorization system. Delivered the Universal Header Navigation Platform, Universal Sharing widget, Location widget, and Notifications widget.</w:t>
      </w:r>
      <w:r>
        <w:rPr>
          <w:sz w:val="21"/>
        </w:rPr>
        <w:t xml:space="preserve"> </w:t>
      </w:r>
    </w:p>
    <w:p w14:paraId="01A0FE83" w14:textId="77777777" w:rsidR="00FF1F59" w:rsidRDefault="00000000">
      <w:pPr>
        <w:pStyle w:val="Heading2"/>
        <w:tabs>
          <w:tab w:val="right" w:pos="10440"/>
        </w:tabs>
        <w:ind w:left="-15" w:right="-15" w:firstLine="0"/>
      </w:pPr>
      <w:r>
        <w:t>Software Engineer</w:t>
      </w:r>
      <w:r>
        <w:rPr>
          <w:b w:val="0"/>
        </w:rPr>
        <w:t xml:space="preserve">, </w:t>
      </w:r>
      <w:proofErr w:type="spellStart"/>
      <w:r>
        <w:rPr>
          <w:b w:val="0"/>
        </w:rPr>
        <w:t>InfoStretch</w:t>
      </w:r>
      <w:proofErr w:type="spellEnd"/>
      <w:r>
        <w:rPr>
          <w:b w:val="0"/>
        </w:rPr>
        <w:t xml:space="preserve"> Corp</w:t>
      </w:r>
      <w:r>
        <w:rPr>
          <w:b w:val="0"/>
          <w:i/>
          <w:color w:val="555555"/>
        </w:rPr>
        <w:t xml:space="preserve"> — Santa Clara, CA</w:t>
      </w:r>
      <w:r>
        <w:rPr>
          <w:rFonts w:ascii="Arial" w:eastAsia="Arial" w:hAnsi="Arial" w:cs="Arial"/>
          <w:b w:val="0"/>
          <w:i/>
          <w:color w:val="555555"/>
        </w:rPr>
        <w:t xml:space="preserve"> </w:t>
      </w:r>
      <w:r>
        <w:rPr>
          <w:rFonts w:ascii="Arial" w:eastAsia="Arial" w:hAnsi="Arial" w:cs="Arial"/>
          <w:b w:val="0"/>
          <w:i/>
          <w:color w:val="555555"/>
        </w:rPr>
        <w:tab/>
      </w:r>
      <w:r>
        <w:rPr>
          <w:b w:val="0"/>
          <w:color w:val="555555"/>
        </w:rPr>
        <w:t>2009 – 2010</w:t>
      </w:r>
      <w:r>
        <w:rPr>
          <w:b w:val="0"/>
        </w:rPr>
        <w:t xml:space="preserve"> </w:t>
      </w:r>
    </w:p>
    <w:p w14:paraId="1850A1F6" w14:textId="77777777" w:rsidR="00FF1F59" w:rsidRDefault="00000000">
      <w:pPr>
        <w:ind w:left="355"/>
      </w:pPr>
      <w:r>
        <w:rPr>
          <w:sz w:val="21"/>
        </w:rPr>
        <w:t>•</w:t>
      </w:r>
      <w:r>
        <w:rPr>
          <w:rFonts w:ascii="Arial" w:eastAsia="Arial" w:hAnsi="Arial" w:cs="Arial"/>
          <w:sz w:val="21"/>
        </w:rPr>
        <w:t xml:space="preserve"> </w:t>
      </w:r>
      <w:r>
        <w:t>Joined a two-engineer team starting Wells Fargo Mobile automation from scratch under technical guidance from our CTO and VP of Engineering, given the strategic importance of the engagement. Wrote the first automated tests, built supporting libraries, and grew the suite to 1,000+ tests across iOS, Android, Windows Mobile, Palm/HTC, and BlackBerry — earning expanding business from Wells Fargo and helping grow the account team from 2 to 12 engineers.</w:t>
      </w:r>
      <w:r>
        <w:rPr>
          <w:sz w:val="21"/>
        </w:rPr>
        <w:t xml:space="preserve"> </w:t>
      </w:r>
    </w:p>
    <w:sectPr w:rsidR="00FF1F59">
      <w:pgSz w:w="12240" w:h="15840"/>
      <w:pgMar w:top="594" w:right="900" w:bottom="546"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D673F"/>
    <w:multiLevelType w:val="hybridMultilevel"/>
    <w:tmpl w:val="1ADCDA1C"/>
    <w:lvl w:ilvl="0" w:tplc="E5DA9980">
      <w:start w:val="1"/>
      <w:numFmt w:val="bullet"/>
      <w:lvlText w:val="•"/>
      <w:lvlJc w:val="left"/>
      <w:pPr>
        <w:ind w:left="3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9C6798">
      <w:start w:val="1"/>
      <w:numFmt w:val="bullet"/>
      <w:lvlText w:val="o"/>
      <w:lvlJc w:val="left"/>
      <w:pPr>
        <w:ind w:left="1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06E072">
      <w:start w:val="1"/>
      <w:numFmt w:val="bullet"/>
      <w:lvlText w:val="▪"/>
      <w:lvlJc w:val="left"/>
      <w:pPr>
        <w:ind w:left="19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7C9448">
      <w:start w:val="1"/>
      <w:numFmt w:val="bullet"/>
      <w:lvlText w:val="•"/>
      <w:lvlJc w:val="left"/>
      <w:pPr>
        <w:ind w:left="26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620C0A">
      <w:start w:val="1"/>
      <w:numFmt w:val="bullet"/>
      <w:lvlText w:val="o"/>
      <w:lvlJc w:val="left"/>
      <w:pPr>
        <w:ind w:left="33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20DEBC">
      <w:start w:val="1"/>
      <w:numFmt w:val="bullet"/>
      <w:lvlText w:val="▪"/>
      <w:lvlJc w:val="left"/>
      <w:pPr>
        <w:ind w:left="4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DCF0C8">
      <w:start w:val="1"/>
      <w:numFmt w:val="bullet"/>
      <w:lvlText w:val="•"/>
      <w:lvlJc w:val="left"/>
      <w:pPr>
        <w:ind w:left="4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78B92C">
      <w:start w:val="1"/>
      <w:numFmt w:val="bullet"/>
      <w:lvlText w:val="o"/>
      <w:lvlJc w:val="left"/>
      <w:pPr>
        <w:ind w:left="5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06DC4E">
      <w:start w:val="1"/>
      <w:numFmt w:val="bullet"/>
      <w:lvlText w:val="▪"/>
      <w:lvlJc w:val="left"/>
      <w:pPr>
        <w:ind w:left="6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89B5FE9"/>
    <w:multiLevelType w:val="hybridMultilevel"/>
    <w:tmpl w:val="9138A3E4"/>
    <w:lvl w:ilvl="0" w:tplc="CB8A296E">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D9CDDC8">
      <w:start w:val="1"/>
      <w:numFmt w:val="bullet"/>
      <w:lvlText w:val="o"/>
      <w:lvlJc w:val="left"/>
      <w:pPr>
        <w:ind w:left="12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AC41F30">
      <w:start w:val="1"/>
      <w:numFmt w:val="bullet"/>
      <w:lvlText w:val="▪"/>
      <w:lvlJc w:val="left"/>
      <w:pPr>
        <w:ind w:left="19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BA092DE">
      <w:start w:val="1"/>
      <w:numFmt w:val="bullet"/>
      <w:lvlText w:val="•"/>
      <w:lvlJc w:val="left"/>
      <w:pPr>
        <w:ind w:left="26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F06DEBA">
      <w:start w:val="1"/>
      <w:numFmt w:val="bullet"/>
      <w:lvlText w:val="o"/>
      <w:lvlJc w:val="left"/>
      <w:pPr>
        <w:ind w:left="3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006A9DE">
      <w:start w:val="1"/>
      <w:numFmt w:val="bullet"/>
      <w:lvlText w:val="▪"/>
      <w:lvlJc w:val="left"/>
      <w:pPr>
        <w:ind w:left="4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5664B40">
      <w:start w:val="1"/>
      <w:numFmt w:val="bullet"/>
      <w:lvlText w:val="•"/>
      <w:lvlJc w:val="left"/>
      <w:pPr>
        <w:ind w:left="4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DC8B2E">
      <w:start w:val="1"/>
      <w:numFmt w:val="bullet"/>
      <w:lvlText w:val="o"/>
      <w:lvlJc w:val="left"/>
      <w:pPr>
        <w:ind w:left="5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07ECFE2">
      <w:start w:val="1"/>
      <w:numFmt w:val="bullet"/>
      <w:lvlText w:val="▪"/>
      <w:lvlJc w:val="left"/>
      <w:pPr>
        <w:ind w:left="6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6F985B8C"/>
    <w:multiLevelType w:val="hybridMultilevel"/>
    <w:tmpl w:val="A022C62A"/>
    <w:lvl w:ilvl="0" w:tplc="B010DB26">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BAF611D2">
      <w:start w:val="1"/>
      <w:numFmt w:val="bullet"/>
      <w:lvlText w:val="o"/>
      <w:lvlJc w:val="left"/>
      <w:pPr>
        <w:ind w:left="12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41638B4">
      <w:start w:val="1"/>
      <w:numFmt w:val="bullet"/>
      <w:lvlText w:val="▪"/>
      <w:lvlJc w:val="left"/>
      <w:pPr>
        <w:ind w:left="19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67C0F62">
      <w:start w:val="1"/>
      <w:numFmt w:val="bullet"/>
      <w:lvlText w:val="•"/>
      <w:lvlJc w:val="left"/>
      <w:pPr>
        <w:ind w:left="26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08CED9A">
      <w:start w:val="1"/>
      <w:numFmt w:val="bullet"/>
      <w:lvlText w:val="o"/>
      <w:lvlJc w:val="left"/>
      <w:pPr>
        <w:ind w:left="337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35A8400">
      <w:start w:val="1"/>
      <w:numFmt w:val="bullet"/>
      <w:lvlText w:val="▪"/>
      <w:lvlJc w:val="left"/>
      <w:pPr>
        <w:ind w:left="409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ED057FE">
      <w:start w:val="1"/>
      <w:numFmt w:val="bullet"/>
      <w:lvlText w:val="•"/>
      <w:lvlJc w:val="left"/>
      <w:pPr>
        <w:ind w:left="481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F4E12EE">
      <w:start w:val="1"/>
      <w:numFmt w:val="bullet"/>
      <w:lvlText w:val="o"/>
      <w:lvlJc w:val="left"/>
      <w:pPr>
        <w:ind w:left="553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2B43DF6">
      <w:start w:val="1"/>
      <w:numFmt w:val="bullet"/>
      <w:lvlText w:val="▪"/>
      <w:lvlJc w:val="left"/>
      <w:pPr>
        <w:ind w:left="625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16cid:durableId="349724652">
    <w:abstractNumId w:val="0"/>
  </w:num>
  <w:num w:numId="2" w16cid:durableId="1175681422">
    <w:abstractNumId w:val="1"/>
  </w:num>
  <w:num w:numId="3" w16cid:durableId="607932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59"/>
    <w:rsid w:val="000A77AD"/>
    <w:rsid w:val="000D0170"/>
    <w:rsid w:val="002343D2"/>
    <w:rsid w:val="00244DE0"/>
    <w:rsid w:val="00657A2E"/>
    <w:rsid w:val="00E634BB"/>
    <w:rsid w:val="00FF1F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6476"/>
  <w15:docId w15:val="{1700FA43-9165-4C98-BBA3-BFDBAC83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7" w:lineRule="auto"/>
      <w:ind w:left="235" w:hanging="235"/>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1F4E79"/>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1"/>
    </w:rPr>
  </w:style>
  <w:style w:type="character" w:customStyle="1" w:styleId="Heading1Char">
    <w:name w:val="Heading 1 Char"/>
    <w:link w:val="Heading1"/>
    <w:rPr>
      <w:rFonts w:ascii="Calibri" w:eastAsia="Calibri" w:hAnsi="Calibri" w:cs="Calibri"/>
      <w:b/>
      <w:color w:val="1F4E79"/>
      <w:sz w:val="22"/>
    </w:rPr>
  </w:style>
  <w:style w:type="character" w:styleId="Hyperlink">
    <w:name w:val="Hyperlink"/>
    <w:basedOn w:val="DefaultParagraphFont"/>
    <w:uiPriority w:val="99"/>
    <w:unhideWhenUsed/>
    <w:rsid w:val="00244DE0"/>
    <w:rPr>
      <w:color w:val="0563C1" w:themeColor="hyperlink"/>
      <w:u w:val="single"/>
    </w:rPr>
  </w:style>
  <w:style w:type="character" w:styleId="UnresolvedMention">
    <w:name w:val="Unresolved Mention"/>
    <w:basedOn w:val="DefaultParagraphFont"/>
    <w:uiPriority w:val="99"/>
    <w:semiHidden/>
    <w:unhideWhenUsed/>
    <w:rsid w:val="00244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chiragjobanputra/" TargetMode="External"/><Relationship Id="rId5" Type="http://schemas.openxmlformats.org/officeDocument/2006/relationships/hyperlink" Target="mailto:saipavan@nextgentech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Chirag_Jobanputra_Resume_Data_Nvidia.docx</dc:title>
  <dc:subject/>
  <dc:creator>Saipavan</dc:creator>
  <cp:keywords/>
  <cp:lastModifiedBy>Saipavan</cp:lastModifiedBy>
  <cp:revision>2</cp:revision>
  <dcterms:created xsi:type="dcterms:W3CDTF">2026-06-30T18:38:00Z</dcterms:created>
  <dcterms:modified xsi:type="dcterms:W3CDTF">2026-06-30T18:38:00Z</dcterms:modified>
</cp:coreProperties>
</file>