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C39E4" w14:textId="77777777" w:rsidR="002B2871" w:rsidRDefault="002B287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080" w:type="dxa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2B2871" w14:paraId="4114AF12" w14:textId="77777777">
        <w:tc>
          <w:tcPr>
            <w:tcW w:w="10080" w:type="dxa"/>
            <w:tcBorders>
              <w:top w:val="nil"/>
              <w:left w:val="nil"/>
              <w:bottom w:val="nil"/>
              <w:right w:val="nil"/>
            </w:tcBorders>
            <w:shd w:val="clear" w:color="auto" w:fill="1A3A5C"/>
            <w:tcMar>
              <w:top w:w="220" w:type="dxa"/>
              <w:left w:w="240" w:type="dxa"/>
              <w:bottom w:w="180" w:type="dxa"/>
              <w:right w:w="240" w:type="dxa"/>
            </w:tcMar>
            <w:vAlign w:val="center"/>
          </w:tcPr>
          <w:p w14:paraId="4905B6F8" w14:textId="64EB65CA" w:rsidR="002B2871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40"/>
                <w:szCs w:val="40"/>
              </w:rPr>
              <w:t>Sayali</w:t>
            </w:r>
          </w:p>
          <w:p w14:paraId="7B492B72" w14:textId="385DC8ED" w:rsidR="002B2871" w:rsidRDefault="004B6DFA">
            <w:pPr>
              <w:jc w:val="center"/>
              <w:rPr>
                <w:u w:val="single"/>
              </w:rPr>
            </w:pPr>
            <w:r>
              <w:rPr>
                <w:color w:val="FFFFFF"/>
                <w:sz w:val="19"/>
                <w:szCs w:val="19"/>
              </w:rPr>
              <w:t>Bay Area,CA</w:t>
            </w:r>
          </w:p>
        </w:tc>
      </w:tr>
    </w:tbl>
    <w:p w14:paraId="518D2CB7" w14:textId="77777777" w:rsidR="002B2871" w:rsidRDefault="00000000">
      <w:pPr>
        <w:pBdr>
          <w:bottom w:val="single" w:sz="12" w:space="2" w:color="1A3A5C"/>
        </w:pBdr>
        <w:spacing w:before="160" w:after="60"/>
      </w:pPr>
      <w:r>
        <w:rPr>
          <w:b/>
          <w:bCs/>
          <w:color w:val="1A3A5C"/>
          <w:sz w:val="22"/>
          <w:szCs w:val="22"/>
        </w:rPr>
        <w:t>PROFESSIONAL SUMMARY</w:t>
      </w:r>
    </w:p>
    <w:p w14:paraId="2FF946E4" w14:textId="77777777" w:rsidR="002B2871" w:rsidRDefault="00000000">
      <w:pPr>
        <w:spacing w:before="40" w:after="50"/>
        <w:jc w:val="both"/>
      </w:pPr>
      <w:r>
        <w:rPr>
          <w:color w:val="000000"/>
        </w:rPr>
        <w:t xml:space="preserve">Results-driven </w:t>
      </w:r>
      <w:r>
        <w:rPr>
          <w:b/>
          <w:bCs/>
          <w:color w:val="000000"/>
        </w:rPr>
        <w:t>Analytics Engineer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Science Expert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around 10 years</w:t>
      </w:r>
      <w:r>
        <w:rPr>
          <w:color w:val="000000"/>
        </w:rPr>
        <w:t xml:space="preserve"> of progressive experience architecting scalable </w:t>
      </w:r>
      <w:r>
        <w:rPr>
          <w:b/>
          <w:bCs/>
          <w:color w:val="000000"/>
        </w:rPr>
        <w:t>data pipelines, ML-integrated workflows</w:t>
      </w:r>
      <w:r>
        <w:rPr>
          <w:color w:val="000000"/>
        </w:rPr>
        <w:t xml:space="preserve">, and executive-grade </w:t>
      </w:r>
      <w:r>
        <w:rPr>
          <w:b/>
          <w:bCs/>
          <w:color w:val="000000"/>
        </w:rPr>
        <w:t>BI solutions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healthcare, fintech, IoT, supply chain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infrastructure</w:t>
      </w:r>
      <w:r>
        <w:rPr>
          <w:color w:val="000000"/>
        </w:rPr>
        <w:t xml:space="preserve"> domains. Expert-level proficiency in </w:t>
      </w:r>
      <w:r>
        <w:rPr>
          <w:b/>
          <w:bCs/>
          <w:color w:val="000000"/>
        </w:rPr>
        <w:t>Python, SQL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with deep hands-on expertise across </w:t>
      </w:r>
      <w:r>
        <w:rPr>
          <w:b/>
          <w:bCs/>
          <w:color w:val="000000"/>
        </w:rPr>
        <w:t>AWS, GCP, Azure, dbt, Apache Spark, Kafka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Airflow</w:t>
      </w:r>
      <w:r>
        <w:rPr>
          <w:color w:val="000000"/>
        </w:rPr>
        <w:t xml:space="preserve">. Proven track record delivering measurable impact — surfacing </w:t>
      </w:r>
      <w:r>
        <w:rPr>
          <w:b/>
          <w:bCs/>
          <w:color w:val="000000"/>
        </w:rPr>
        <w:t>$20M+ in capacity opportunities</w:t>
      </w:r>
      <w:r>
        <w:rPr>
          <w:color w:val="000000"/>
        </w:rPr>
        <w:t xml:space="preserve">, identifying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, and architecting </w:t>
      </w:r>
      <w:r>
        <w:rPr>
          <w:b/>
          <w:bCs/>
          <w:color w:val="000000"/>
        </w:rPr>
        <w:t>HIPAA-compliant</w:t>
      </w:r>
      <w:r>
        <w:rPr>
          <w:color w:val="000000"/>
        </w:rPr>
        <w:t xml:space="preserve"> healthcare data products at scale. </w:t>
      </w:r>
      <w:r>
        <w:rPr>
          <w:b/>
          <w:bCs/>
          <w:color w:val="000000"/>
        </w:rPr>
        <w:t>★ Intuit Hackathon winner</w:t>
      </w:r>
      <w:r>
        <w:rPr>
          <w:color w:val="000000"/>
        </w:rPr>
        <w:t xml:space="preserve">; recognized for </w:t>
      </w:r>
      <w:r>
        <w:rPr>
          <w:b/>
          <w:bCs/>
          <w:color w:val="000000"/>
        </w:rPr>
        <w:t>AI/ML integration, executive data storytelling</w:t>
      </w:r>
      <w:r>
        <w:rPr>
          <w:color w:val="000000"/>
        </w:rPr>
        <w:t>, and cross-functional leadership across regulated industries (</w:t>
      </w:r>
      <w:r>
        <w:rPr>
          <w:b/>
          <w:bCs/>
          <w:color w:val="000000"/>
        </w:rPr>
        <w:t>HIPAA, SOX, PCI-DSS</w:t>
      </w:r>
      <w:r>
        <w:rPr>
          <w:color w:val="000000"/>
        </w:rPr>
        <w:t>).</w:t>
      </w:r>
    </w:p>
    <w:p w14:paraId="09216D93" w14:textId="77777777" w:rsidR="002B2871" w:rsidRDefault="00000000">
      <w:pPr>
        <w:pBdr>
          <w:bottom w:val="single" w:sz="12" w:space="2" w:color="1A3A5C"/>
        </w:pBdr>
        <w:spacing w:before="160" w:after="60"/>
      </w:pPr>
      <w:r>
        <w:rPr>
          <w:b/>
          <w:bCs/>
          <w:color w:val="1A3A5C"/>
          <w:sz w:val="22"/>
          <w:szCs w:val="22"/>
        </w:rPr>
        <w:t>AWARDS &amp; RECOGNITION</w:t>
      </w:r>
    </w:p>
    <w:p w14:paraId="62756496" w14:textId="77777777" w:rsidR="002B2871" w:rsidRDefault="00000000">
      <w:pPr>
        <w:spacing w:before="72" w:after="12"/>
      </w:pPr>
      <w:r>
        <w:rPr>
          <w:b/>
          <w:bCs/>
          <w:color w:val="1A3A5C"/>
        </w:rPr>
        <w:t>★  Intuit Internal Hackathon Recognition — Workforce &amp; Revenue Analytics BI Platform</w:t>
      </w:r>
      <w:r>
        <w:rPr>
          <w:color w:val="000000"/>
        </w:rPr>
        <w:t xml:space="preserve"> — </w:t>
      </w:r>
      <w:r>
        <w:rPr>
          <w:i/>
          <w:iCs/>
          <w:color w:val="000000"/>
        </w:rPr>
        <w:t>Intuit, 2025</w:t>
      </w:r>
    </w:p>
    <w:p w14:paraId="4CA0B392" w14:textId="77777777" w:rsidR="002B2871" w:rsidRDefault="00000000">
      <w:pPr>
        <w:spacing w:after="32"/>
        <w:ind w:left="380"/>
        <w:jc w:val="both"/>
      </w:pPr>
      <w:r>
        <w:rPr>
          <w:color w:val="000000"/>
        </w:rPr>
        <w:t xml:space="preserve">Architected a </w:t>
      </w:r>
      <w:r>
        <w:rPr>
          <w:b/>
          <w:bCs/>
          <w:color w:val="000000"/>
        </w:rPr>
        <w:t>semantic-layer BI platform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Databricks and GCP BigQuery</w:t>
      </w:r>
      <w:r>
        <w:rPr>
          <w:color w:val="000000"/>
        </w:rPr>
        <w:t xml:space="preserve"> adopted organization-wide for C-suite scenario modeling;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recognized as </w:t>
      </w:r>
      <w:r>
        <w:rPr>
          <w:b/>
          <w:bCs/>
          <w:color w:val="000000"/>
        </w:rPr>
        <w:t>highest-impact delivery of the quarter</w:t>
      </w:r>
      <w:r>
        <w:rPr>
          <w:color w:val="000000"/>
        </w:rPr>
        <w:t xml:space="preserve"> by senior engineering and product leadership.</w:t>
      </w:r>
    </w:p>
    <w:p w14:paraId="4C15C327" w14:textId="77777777" w:rsidR="002B2871" w:rsidRDefault="00000000">
      <w:pPr>
        <w:spacing w:before="72" w:after="12"/>
      </w:pPr>
      <w:r>
        <w:rPr>
          <w:b/>
          <w:bCs/>
          <w:color w:val="1A3A5C"/>
        </w:rPr>
        <w:t>★  iPSH Product Delivery Award — On-Time, In-Full</w:t>
      </w:r>
      <w:r>
        <w:rPr>
          <w:color w:val="000000"/>
        </w:rPr>
        <w:t xml:space="preserve"> — </w:t>
      </w:r>
      <w:r>
        <w:rPr>
          <w:i/>
          <w:iCs/>
          <w:color w:val="000000"/>
        </w:rPr>
        <w:t>Intellect Design Arena</w:t>
      </w:r>
    </w:p>
    <w:p w14:paraId="79EC8435" w14:textId="77777777" w:rsidR="002B2871" w:rsidRDefault="00000000">
      <w:pPr>
        <w:spacing w:after="32"/>
        <w:ind w:left="380"/>
        <w:jc w:val="both"/>
      </w:pPr>
      <w:r>
        <w:rPr>
          <w:color w:val="000000"/>
        </w:rPr>
        <w:t xml:space="preserve">Recognized for successful on-time, in-full delivery of the </w:t>
      </w:r>
      <w:r>
        <w:rPr>
          <w:b/>
          <w:bCs/>
          <w:color w:val="000000"/>
        </w:rPr>
        <w:t>iPSH digital payment product</w:t>
      </w:r>
      <w:r>
        <w:rPr>
          <w:color w:val="000000"/>
        </w:rPr>
        <w:t xml:space="preserve">; engineered cloud-integrated </w:t>
      </w:r>
      <w:r>
        <w:rPr>
          <w:b/>
          <w:bCs/>
          <w:color w:val="000000"/>
        </w:rPr>
        <w:t>ETL/ELT pipelines, Snowflake data warehousing</w:t>
      </w:r>
      <w:r>
        <w:rPr>
          <w:color w:val="000000"/>
        </w:rPr>
        <w:t xml:space="preserve">, and payment processing analytics for </w:t>
      </w:r>
      <w:r>
        <w:rPr>
          <w:b/>
          <w:bCs/>
          <w:color w:val="000000"/>
        </w:rPr>
        <w:t>15+ global banking clients</w:t>
      </w:r>
      <w:r>
        <w:rPr>
          <w:color w:val="000000"/>
        </w:rPr>
        <w:t>.</w:t>
      </w:r>
    </w:p>
    <w:p w14:paraId="0198EBAE" w14:textId="77777777" w:rsidR="002B2871" w:rsidRDefault="00000000">
      <w:pPr>
        <w:spacing w:before="72" w:after="12"/>
      </w:pPr>
      <w:r>
        <w:rPr>
          <w:b/>
          <w:bCs/>
          <w:color w:val="1A3A5C"/>
        </w:rPr>
        <w:t>★  MS Capstone: Asclepius — FDA Breakthrough Therapy &amp; Market Access Analytics</w:t>
      </w:r>
      <w:r>
        <w:rPr>
          <w:color w:val="000000"/>
        </w:rPr>
        <w:t xml:space="preserve"> — </w:t>
      </w:r>
      <w:r>
        <w:rPr>
          <w:i/>
          <w:iCs/>
          <w:color w:val="000000"/>
        </w:rPr>
        <w:t>2022</w:t>
      </w:r>
    </w:p>
    <w:p w14:paraId="62962097" w14:textId="77777777" w:rsidR="002B2871" w:rsidRDefault="00000000">
      <w:pPr>
        <w:spacing w:after="32"/>
        <w:ind w:left="380"/>
        <w:jc w:val="both"/>
      </w:pPr>
      <w:r>
        <w:rPr>
          <w:color w:val="000000"/>
        </w:rPr>
        <w:t xml:space="preserve">Graduate capstone analyzing </w:t>
      </w:r>
      <w:r>
        <w:rPr>
          <w:b/>
          <w:bCs/>
          <w:color w:val="000000"/>
        </w:rPr>
        <w:t>FDA oncology</w:t>
      </w:r>
      <w:r>
        <w:rPr>
          <w:color w:val="000000"/>
        </w:rPr>
        <w:t xml:space="preserve"> breakthrough therapy drugs using </w:t>
      </w:r>
      <w:r>
        <w:rPr>
          <w:b/>
          <w:bCs/>
          <w:color w:val="000000"/>
        </w:rPr>
        <w:t>US Census Bureau</w:t>
      </w:r>
      <w:r>
        <w:rPr>
          <w:color w:val="000000"/>
        </w:rPr>
        <w:t xml:space="preserve"> datasets; demonstrated advanced </w:t>
      </w:r>
      <w:r>
        <w:rPr>
          <w:b/>
          <w:bCs/>
          <w:color w:val="000000"/>
        </w:rPr>
        <w:t>predictive modeling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storytelling</w:t>
      </w:r>
      <w:r>
        <w:rPr>
          <w:color w:val="000000"/>
        </w:rPr>
        <w:t xml:space="preserve"> to translate complex regulatory data into strategic market intelligence.</w:t>
      </w:r>
    </w:p>
    <w:p w14:paraId="346D2B68" w14:textId="77777777" w:rsidR="002B2871" w:rsidRDefault="00000000">
      <w:pPr>
        <w:pBdr>
          <w:bottom w:val="single" w:sz="12" w:space="2" w:color="1A3A5C"/>
        </w:pBdr>
        <w:spacing w:before="160" w:after="60"/>
      </w:pPr>
      <w:r>
        <w:rPr>
          <w:b/>
          <w:bCs/>
          <w:color w:val="1A3A5C"/>
          <w:sz w:val="22"/>
          <w:szCs w:val="22"/>
        </w:rPr>
        <w:t>PROFESSIONAL EXPERIENCE</w:t>
      </w:r>
    </w:p>
    <w:p w14:paraId="5B26FEF5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Analytics Engineer  /  Revenue Data Quality Expert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Jul 2025 – Present</w:t>
      </w:r>
    </w:p>
    <w:p w14:paraId="020FF677" w14:textId="77777777" w:rsidR="002B2871" w:rsidRDefault="00000000">
      <w:pPr>
        <w:spacing w:after="44"/>
      </w:pPr>
      <w:r>
        <w:rPr>
          <w:b/>
          <w:bCs/>
          <w:color w:val="000000"/>
        </w:rPr>
        <w:t>Cambia Health Solutions</w:t>
      </w:r>
      <w:r>
        <w:rPr>
          <w:i/>
          <w:iCs/>
          <w:color w:val="000000"/>
        </w:rPr>
        <w:t xml:space="preserve">  —  Healthcare Data Engineering &amp; Revenue Analytics  |  Snowflake · dbt · Python · Spark · Kafka · Airflow · AWS · Streamlit · Sigma</w:t>
      </w:r>
    </w:p>
    <w:p w14:paraId="396EF791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AI/LLM Integration — Recognized by Leadership</w:t>
      </w:r>
      <w:r>
        <w:rPr>
          <w:color w:val="000000"/>
        </w:rPr>
        <w:t xml:space="preserve">: Led cross-functional initiative integrating </w:t>
      </w:r>
      <w:r>
        <w:rPr>
          <w:b/>
          <w:bCs/>
          <w:color w:val="000000"/>
        </w:rPr>
        <w:t>AI agents and LLMs</w:t>
      </w:r>
      <w:r>
        <w:rPr>
          <w:color w:val="000000"/>
        </w:rPr>
        <w:t xml:space="preserve"> into the </w:t>
      </w:r>
      <w:r>
        <w:rPr>
          <w:b/>
          <w:bCs/>
          <w:color w:val="000000"/>
        </w:rPr>
        <w:t>Supplemental Data Quality Framework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 and AWS</w:t>
      </w:r>
      <w:r>
        <w:rPr>
          <w:color w:val="000000"/>
        </w:rPr>
        <w:t xml:space="preserve">; architected connections between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transformation layers, </w:t>
      </w:r>
      <w:r>
        <w:rPr>
          <w:b/>
          <w:bCs/>
          <w:color w:val="000000"/>
        </w:rPr>
        <w:t>LLM analysis engines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 visualizations for intelligent anomaly detection and executive reporting — recognized by product and engineering leadership as a </w:t>
      </w:r>
      <w:r>
        <w:rPr>
          <w:b/>
          <w:bCs/>
          <w:color w:val="000000"/>
        </w:rPr>
        <w:t>strategic differentiator</w:t>
      </w:r>
      <w:r>
        <w:rPr>
          <w:color w:val="000000"/>
        </w:rPr>
        <w:t xml:space="preserve"> for operationalizing </w:t>
      </w:r>
      <w:r>
        <w:rPr>
          <w:b/>
          <w:bCs/>
          <w:color w:val="000000"/>
        </w:rPr>
        <w:t>AI-powered data intelligence</w:t>
      </w:r>
      <w:r>
        <w:rPr>
          <w:color w:val="000000"/>
        </w:rPr>
        <w:t xml:space="preserve"> at scale.</w:t>
      </w:r>
    </w:p>
    <w:p w14:paraId="711C4254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HIPAA-compliant ETL/ELT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Snowflake, AWS (S3, Glue)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 processing healthcare </w:t>
      </w:r>
      <w:r>
        <w:rPr>
          <w:b/>
          <w:bCs/>
          <w:color w:val="000000"/>
        </w:rPr>
        <w:t>EMR/EHR</w:t>
      </w:r>
      <w:r>
        <w:rPr>
          <w:color w:val="000000"/>
        </w:rPr>
        <w:t xml:space="preserve"> data including </w:t>
      </w:r>
      <w:r>
        <w:rPr>
          <w:b/>
          <w:bCs/>
          <w:color w:val="000000"/>
        </w:rPr>
        <w:t>HL7/FHIR</w:t>
      </w:r>
      <w:r>
        <w:rPr>
          <w:color w:val="000000"/>
        </w:rPr>
        <w:t xml:space="preserve">-formatted claims, encounter, and provider records — improved pipeline reliability by </w:t>
      </w:r>
      <w:r>
        <w:rPr>
          <w:b/>
          <w:bCs/>
          <w:color w:val="000000"/>
        </w:rPr>
        <w:t>30%</w:t>
      </w:r>
      <w:r>
        <w:rPr>
          <w:color w:val="000000"/>
        </w:rPr>
        <w:t xml:space="preserve"> and reduced monthly data validation overhead by </w:t>
      </w:r>
      <w:r>
        <w:rPr>
          <w:b/>
          <w:bCs/>
          <w:color w:val="000000"/>
        </w:rPr>
        <w:t>8 hours</w:t>
      </w:r>
      <w:r>
        <w:rPr>
          <w:color w:val="000000"/>
        </w:rPr>
        <w:t>.</w:t>
      </w:r>
    </w:p>
    <w:p w14:paraId="64297A63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Architected the </w:t>
      </w:r>
      <w:r>
        <w:rPr>
          <w:b/>
          <w:bCs/>
          <w:color w:val="000000"/>
        </w:rPr>
        <w:t>Provider One data product</w:t>
      </w:r>
      <w:r>
        <w:rPr>
          <w:color w:val="000000"/>
        </w:rPr>
        <w:t xml:space="preserve">, extracting and transforming clinical provider data from </w:t>
      </w:r>
      <w:r>
        <w:rPr>
          <w:b/>
          <w:bCs/>
          <w:color w:val="000000"/>
        </w:rPr>
        <w:t>EPIC EHR</w:t>
      </w:r>
      <w:r>
        <w:rPr>
          <w:color w:val="000000"/>
        </w:rPr>
        <w:t xml:space="preserve"> into a governed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dimensional model using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— enabling </w:t>
      </w:r>
      <w:r>
        <w:rPr>
          <w:b/>
          <w:bCs/>
          <w:color w:val="000000"/>
        </w:rPr>
        <w:t>12+ care coordination teams</w:t>
      </w:r>
      <w:r>
        <w:rPr>
          <w:color w:val="000000"/>
        </w:rPr>
        <w:t xml:space="preserve"> to execute targeted patient interventions across </w:t>
      </w:r>
      <w:r>
        <w:rPr>
          <w:b/>
          <w:bCs/>
          <w:color w:val="000000"/>
        </w:rPr>
        <w:t>8,000+ patient records</w:t>
      </w:r>
      <w:r>
        <w:rPr>
          <w:color w:val="000000"/>
        </w:rPr>
        <w:t>.</w:t>
      </w:r>
    </w:p>
    <w:p w14:paraId="26491B22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the </w:t>
      </w:r>
      <w:r>
        <w:rPr>
          <w:b/>
          <w:bCs/>
          <w:color w:val="000000"/>
        </w:rPr>
        <w:t>Supplemental Data Quality Framework</w:t>
      </w:r>
      <w:r>
        <w:rPr>
          <w:color w:val="000000"/>
        </w:rPr>
        <w:t xml:space="preserve"> using </w:t>
      </w:r>
      <w:r>
        <w:rPr>
          <w:b/>
          <w:bCs/>
          <w:color w:val="000000"/>
        </w:rPr>
        <w:t>Python, Apache Spark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Airflow</w:t>
      </w:r>
      <w:r>
        <w:rPr>
          <w:color w:val="000000"/>
        </w:rPr>
        <w:t xml:space="preserve"> orchestration to surface revenue-impacting data errors — drove measurable </w:t>
      </w:r>
      <w:r>
        <w:rPr>
          <w:b/>
          <w:bCs/>
          <w:color w:val="000000"/>
        </w:rPr>
        <w:t>revenue improvement</w:t>
      </w:r>
      <w:r>
        <w:rPr>
          <w:color w:val="000000"/>
        </w:rPr>
        <w:t xml:space="preserve"> for the product and reduced end-user error rates by </w:t>
      </w:r>
      <w:r>
        <w:rPr>
          <w:b/>
          <w:bCs/>
          <w:color w:val="000000"/>
        </w:rPr>
        <w:t>35%</w:t>
      </w:r>
      <w:r>
        <w:rPr>
          <w:color w:val="000000"/>
        </w:rPr>
        <w:t>.</w:t>
      </w:r>
    </w:p>
    <w:p w14:paraId="5DA2A1CB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Implemented </w:t>
      </w:r>
      <w:r>
        <w:rPr>
          <w:b/>
          <w:bCs/>
          <w:color w:val="000000"/>
        </w:rPr>
        <w:t>real-time streaming pipelines</w:t>
      </w:r>
      <w:r>
        <w:rPr>
          <w:color w:val="000000"/>
        </w:rPr>
        <w:t xml:space="preserve"> using </w:t>
      </w:r>
      <w:r>
        <w:rPr>
          <w:b/>
          <w:bCs/>
          <w:color w:val="000000"/>
        </w:rPr>
        <w:t>Apache Kafka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Spark Streaming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Medicare/Medicaid</w:t>
      </w:r>
      <w:r>
        <w:rPr>
          <w:color w:val="000000"/>
        </w:rPr>
        <w:t xml:space="preserve"> managed care analytics — reduced data latency from batch (T+1) to </w:t>
      </w:r>
      <w:r>
        <w:rPr>
          <w:b/>
          <w:bCs/>
          <w:color w:val="000000"/>
        </w:rPr>
        <w:t>near-real-time</w:t>
      </w:r>
      <w:r>
        <w:rPr>
          <w:color w:val="000000"/>
        </w:rPr>
        <w:t xml:space="preserve">, directly supporting revenue analytics and </w:t>
      </w:r>
      <w:r>
        <w:rPr>
          <w:b/>
          <w:bCs/>
          <w:color w:val="000000"/>
        </w:rPr>
        <w:t>executive reporting</w:t>
      </w:r>
      <w:r>
        <w:rPr>
          <w:color w:val="000000"/>
        </w:rPr>
        <w:t xml:space="preserve"> for C-suite stakeholders.</w:t>
      </w:r>
    </w:p>
    <w:p w14:paraId="4325DCA9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lastRenderedPageBreak/>
        <w:t xml:space="preserve">Built interactive </w:t>
      </w:r>
      <w:r>
        <w:rPr>
          <w:b/>
          <w:bCs/>
          <w:color w:val="000000"/>
        </w:rPr>
        <w:t>Streamlit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 dashboards translating complex healthcare revenue and data quality metrics into executive data stories — enabling data-driven decision-making for finance and operations leadership across Medicare and Medicaid product lines.</w:t>
      </w:r>
    </w:p>
    <w:p w14:paraId="1E8F1929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Established </w:t>
      </w:r>
      <w:r>
        <w:rPr>
          <w:b/>
          <w:bCs/>
          <w:color w:val="000000"/>
        </w:rPr>
        <w:t>data governance and security</w:t>
      </w:r>
      <w:r>
        <w:rPr>
          <w:color w:val="000000"/>
        </w:rPr>
        <w:t xml:space="preserve"> frameworks compliant with </w:t>
      </w:r>
      <w:r>
        <w:rPr>
          <w:b/>
          <w:bCs/>
          <w:color w:val="000000"/>
        </w:rPr>
        <w:t>HIPAA/PHI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HL7/FHIR</w:t>
      </w:r>
      <w:r>
        <w:rPr>
          <w:color w:val="000000"/>
        </w:rPr>
        <w:t xml:space="preserve"> standards — implemented schema validation, </w:t>
      </w:r>
      <w:r>
        <w:rPr>
          <w:b/>
          <w:bCs/>
          <w:color w:val="000000"/>
        </w:rPr>
        <w:t>data lineage tracking</w:t>
      </w:r>
      <w:r>
        <w:rPr>
          <w:color w:val="000000"/>
        </w:rPr>
        <w:t xml:space="preserve">, and access control policies across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environments, reducing audit risk and PHI exposure.</w:t>
      </w:r>
    </w:p>
    <w:p w14:paraId="72C50498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Sr. Analytics Engineer  /  Data Science Expert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Feb 2025 – Jul 2025</w:t>
      </w:r>
    </w:p>
    <w:p w14:paraId="0B4E3F19" w14:textId="77777777" w:rsidR="002B2871" w:rsidRDefault="00000000">
      <w:pPr>
        <w:spacing w:after="44"/>
      </w:pPr>
      <w:r>
        <w:rPr>
          <w:b/>
          <w:bCs/>
          <w:color w:val="000000"/>
        </w:rPr>
        <w:t>Intuit (Contract)</w:t>
      </w:r>
      <w:r>
        <w:rPr>
          <w:i/>
          <w:iCs/>
          <w:color w:val="000000"/>
        </w:rPr>
        <w:t xml:space="preserve">  —  FinTech — QuickBooks &amp; TurboTax  |  GCP · BigQuery · Azure · Databricks · Snowflake · Spark · Airflow · dbt · Qlik Sense · Tableau · GitLab · SOX · PCI-DSS</w:t>
      </w:r>
    </w:p>
    <w:p w14:paraId="53D74992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Intuit Hackathon Winner</w:t>
      </w:r>
      <w:r>
        <w:rPr>
          <w:color w:val="000000"/>
        </w:rPr>
        <w:t xml:space="preserve"> — Architected an executive </w:t>
      </w:r>
      <w:r>
        <w:rPr>
          <w:b/>
          <w:bCs/>
          <w:color w:val="000000"/>
        </w:rPr>
        <w:t>BI platform</w:t>
      </w:r>
      <w:r>
        <w:rPr>
          <w:color w:val="000000"/>
        </w:rPr>
        <w:t xml:space="preserve"> integrating workforce allocation, revenue forecasting, and GTM capacity modeling on </w:t>
      </w:r>
      <w:r>
        <w:rPr>
          <w:b/>
          <w:bCs/>
          <w:color w:val="000000"/>
        </w:rPr>
        <w:t>Databricks and GCP BigQuery</w:t>
      </w:r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dashboard adopted by </w:t>
      </w:r>
      <w:r>
        <w:rPr>
          <w:b/>
          <w:bCs/>
          <w:color w:val="000000"/>
        </w:rPr>
        <w:t>C-suite</w:t>
      </w:r>
      <w:r>
        <w:rPr>
          <w:color w:val="000000"/>
        </w:rPr>
        <w:t xml:space="preserve"> for quarterly strategic planning and recognized as </w:t>
      </w:r>
      <w:r>
        <w:rPr>
          <w:b/>
          <w:bCs/>
          <w:color w:val="000000"/>
        </w:rPr>
        <w:t>highest-impact delivery of the quarter</w:t>
      </w:r>
      <w:r>
        <w:rPr>
          <w:color w:val="000000"/>
        </w:rPr>
        <w:t xml:space="preserve"> by senior engineering and product leadership.</w:t>
      </w:r>
    </w:p>
    <w:p w14:paraId="052E3551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a </w:t>
      </w:r>
      <w:r>
        <w:rPr>
          <w:b/>
          <w:bCs/>
          <w:color w:val="000000"/>
        </w:rPr>
        <w:t>Tableau Capacity Calculator</w:t>
      </w:r>
      <w:r>
        <w:rPr>
          <w:color w:val="000000"/>
        </w:rPr>
        <w:t xml:space="preserve"> connecting </w:t>
      </w:r>
      <w:r>
        <w:rPr>
          <w:b/>
          <w:bCs/>
          <w:color w:val="000000"/>
        </w:rPr>
        <w:t>25+ global GBSG teams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QuickBooks and TurboTax</w:t>
      </w:r>
      <w:r>
        <w:rPr>
          <w:color w:val="000000"/>
        </w:rPr>
        <w:t xml:space="preserve"> product lines — standardized </w:t>
      </w:r>
      <w:r>
        <w:rPr>
          <w:b/>
          <w:bCs/>
          <w:color w:val="000000"/>
        </w:rPr>
        <w:t>annual and quarterly planning KPIs</w:t>
      </w:r>
      <w:r>
        <w:rPr>
          <w:color w:val="000000"/>
        </w:rPr>
        <w:t xml:space="preserve"> for executive decision cycles, reducing ad-hoc reporting requests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accelerating C-suite decision velocity by </w:t>
      </w:r>
      <w:r>
        <w:rPr>
          <w:b/>
          <w:bCs/>
          <w:color w:val="000000"/>
        </w:rPr>
        <w:t>3–5 business days</w:t>
      </w:r>
      <w:r>
        <w:rPr>
          <w:color w:val="000000"/>
        </w:rPr>
        <w:t>.</w:t>
      </w:r>
    </w:p>
    <w:p w14:paraId="58C01EA5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GCP Pub/Sub</w:t>
      </w:r>
      <w:r>
        <w:rPr>
          <w:color w:val="000000"/>
        </w:rPr>
        <w:t xml:space="preserve"> event-driven ingestion pipelines and </w:t>
      </w:r>
      <w:r>
        <w:rPr>
          <w:b/>
          <w:bCs/>
          <w:color w:val="000000"/>
        </w:rPr>
        <w:t>Snowflake ELT</w:t>
      </w:r>
      <w:r>
        <w:rPr>
          <w:color w:val="000000"/>
        </w:rPr>
        <w:t xml:space="preserve"> workflows consolidating </w:t>
      </w:r>
      <w:r>
        <w:rPr>
          <w:b/>
          <w:bCs/>
          <w:color w:val="000000"/>
        </w:rPr>
        <w:t>Workday, iCIMS, and Salesforce</w:t>
      </w:r>
      <w:r>
        <w:rPr>
          <w:color w:val="000000"/>
        </w:rPr>
        <w:t xml:space="preserve"> data using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 — delivered </w:t>
      </w:r>
      <w:r>
        <w:rPr>
          <w:b/>
          <w:bCs/>
          <w:color w:val="000000"/>
        </w:rPr>
        <w:t>30% reduction</w:t>
      </w:r>
      <w:r>
        <w:rPr>
          <w:color w:val="000000"/>
        </w:rPr>
        <w:t xml:space="preserve"> in forecast cycle time and </w:t>
      </w:r>
      <w:r>
        <w:rPr>
          <w:b/>
          <w:bCs/>
          <w:color w:val="000000"/>
        </w:rPr>
        <w:t>18% improvement</w:t>
      </w:r>
      <w:r>
        <w:rPr>
          <w:color w:val="000000"/>
        </w:rPr>
        <w:t xml:space="preserve"> in workforce and revenue forecast accuracy.</w:t>
      </w:r>
    </w:p>
    <w:p w14:paraId="5D647EF3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Built a governed </w:t>
      </w:r>
      <w:r>
        <w:rPr>
          <w:b/>
          <w:bCs/>
          <w:color w:val="000000"/>
        </w:rPr>
        <w:t>semantic layer</w:t>
      </w:r>
      <w:r>
        <w:rPr>
          <w:color w:val="000000"/>
        </w:rPr>
        <w:t xml:space="preserve"> using </w:t>
      </w:r>
      <w:r>
        <w:rPr>
          <w:b/>
          <w:bCs/>
          <w:color w:val="000000"/>
        </w:rPr>
        <w:t>LookML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standardizing KPI definitions across Finance, Operations, and GTM for </w:t>
      </w:r>
      <w:r>
        <w:rPr>
          <w:b/>
          <w:bCs/>
          <w:color w:val="000000"/>
        </w:rPr>
        <w:t>50+ executive dashboards</w:t>
      </w:r>
      <w:r>
        <w:rPr>
          <w:color w:val="000000"/>
        </w:rPr>
        <w:t xml:space="preserve"> — improved KPI consistency by </w:t>
      </w:r>
      <w:r>
        <w:rPr>
          <w:b/>
          <w:bCs/>
          <w:color w:val="000000"/>
        </w:rPr>
        <w:t>35%</w:t>
      </w:r>
      <w:r>
        <w:rPr>
          <w:color w:val="000000"/>
        </w:rPr>
        <w:t xml:space="preserve"> and eliminated conflicting metric definitions across C-suite reporting.</w:t>
      </w:r>
    </w:p>
    <w:p w14:paraId="73671667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Integrated </w:t>
      </w:r>
      <w:r>
        <w:rPr>
          <w:b/>
          <w:bCs/>
          <w:color w:val="000000"/>
        </w:rPr>
        <w:t>AI/ML tooling</w:t>
      </w:r>
      <w:r>
        <w:rPr>
          <w:color w:val="000000"/>
        </w:rPr>
        <w:t xml:space="preserve"> (</w:t>
      </w:r>
      <w:r>
        <w:rPr>
          <w:b/>
          <w:bCs/>
          <w:color w:val="000000"/>
        </w:rPr>
        <w:t>Python, scikit-learn, LangChain</w:t>
      </w:r>
      <w:r>
        <w:rPr>
          <w:color w:val="000000"/>
        </w:rPr>
        <w:t xml:space="preserve">) into anomaly detection pipelines — reduced root-cause investigation time by </w:t>
      </w:r>
      <w:r>
        <w:rPr>
          <w:b/>
          <w:bCs/>
          <w:color w:val="000000"/>
        </w:rPr>
        <w:t>70%</w:t>
      </w:r>
      <w:r>
        <w:rPr>
          <w:color w:val="000000"/>
        </w:rPr>
        <w:t xml:space="preserve"> and demonstrated hands-on exposure to </w:t>
      </w:r>
      <w:r>
        <w:rPr>
          <w:b/>
          <w:bCs/>
          <w:color w:val="000000"/>
        </w:rPr>
        <w:t>LLM integration, RAG pipelines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within a regulated </w:t>
      </w:r>
      <w:r>
        <w:rPr>
          <w:b/>
          <w:bCs/>
          <w:color w:val="000000"/>
        </w:rPr>
        <w:t>FinTech</w:t>
      </w:r>
      <w:r>
        <w:rPr>
          <w:color w:val="000000"/>
        </w:rPr>
        <w:t xml:space="preserve"> data platform.</w:t>
      </w:r>
    </w:p>
    <w:p w14:paraId="54D35D5C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Maintained </w:t>
      </w:r>
      <w:r>
        <w:rPr>
          <w:b/>
          <w:bCs/>
          <w:color w:val="000000"/>
        </w:rPr>
        <w:t>SOX and PCI-DSS</w:t>
      </w:r>
      <w:r>
        <w:rPr>
          <w:color w:val="000000"/>
        </w:rPr>
        <w:t xml:space="preserve"> compliance across all pipeline and dashboard environments — established </w:t>
      </w:r>
      <w:r>
        <w:rPr>
          <w:b/>
          <w:bCs/>
          <w:color w:val="000000"/>
        </w:rPr>
        <w:t>data quality SLAs</w:t>
      </w:r>
      <w:r>
        <w:rPr>
          <w:color w:val="000000"/>
        </w:rPr>
        <w:t xml:space="preserve"> at </w:t>
      </w:r>
      <w:r>
        <w:rPr>
          <w:b/>
          <w:bCs/>
          <w:color w:val="000000"/>
        </w:rPr>
        <w:t>99%+ freshness</w:t>
      </w:r>
      <w:r>
        <w:rPr>
          <w:color w:val="000000"/>
        </w:rPr>
        <w:t xml:space="preserve"> and deployed </w:t>
      </w:r>
      <w:r>
        <w:rPr>
          <w:b/>
          <w:bCs/>
          <w:color w:val="000000"/>
        </w:rPr>
        <w:t>CI/CD</w:t>
      </w:r>
      <w:r>
        <w:rPr>
          <w:color w:val="000000"/>
        </w:rPr>
        <w:t xml:space="preserve"> pipelines via </w:t>
      </w:r>
      <w:r>
        <w:rPr>
          <w:b/>
          <w:bCs/>
          <w:color w:val="000000"/>
        </w:rPr>
        <w:t>GitLab</w:t>
      </w:r>
      <w:r>
        <w:rPr>
          <w:color w:val="000000"/>
        </w:rPr>
        <w:t xml:space="preserve"> for zero-downtime </w:t>
      </w:r>
      <w:r>
        <w:rPr>
          <w:b/>
          <w:bCs/>
          <w:color w:val="000000"/>
        </w:rPr>
        <w:t>Spark</w:t>
      </w:r>
      <w:r>
        <w:rPr>
          <w:color w:val="000000"/>
        </w:rPr>
        <w:t xml:space="preserve"> releases on </w:t>
      </w:r>
      <w:r>
        <w:rPr>
          <w:b/>
          <w:bCs/>
          <w:color w:val="000000"/>
        </w:rPr>
        <w:t>GCP and Azure/Databricks</w:t>
      </w:r>
      <w:r>
        <w:rPr>
          <w:color w:val="000000"/>
        </w:rPr>
        <w:t>.</w:t>
      </w:r>
    </w:p>
    <w:p w14:paraId="4BB17AA6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Remediated legacy </w:t>
      </w:r>
      <w:r>
        <w:rPr>
          <w:b/>
          <w:bCs/>
          <w:color w:val="000000"/>
        </w:rPr>
        <w:t>Looker/LookML</w:t>
      </w:r>
      <w:r>
        <w:rPr>
          <w:color w:val="000000"/>
        </w:rPr>
        <w:t xml:space="preserve"> dashboard performance issues across </w:t>
      </w:r>
      <w:r>
        <w:rPr>
          <w:b/>
          <w:bCs/>
          <w:color w:val="000000"/>
        </w:rPr>
        <w:t>12+ dashboards</w:t>
      </w:r>
      <w:r>
        <w:rPr>
          <w:color w:val="000000"/>
        </w:rPr>
        <w:t xml:space="preserve"> — achieved </w:t>
      </w:r>
      <w:r>
        <w:rPr>
          <w:b/>
          <w:bCs/>
          <w:color w:val="000000"/>
        </w:rPr>
        <w:t>40% reduction</w:t>
      </w:r>
      <w:r>
        <w:rPr>
          <w:color w:val="000000"/>
        </w:rPr>
        <w:t xml:space="preserve"> in refresh latency and </w:t>
      </w:r>
      <w:r>
        <w:rPr>
          <w:b/>
          <w:bCs/>
          <w:color w:val="000000"/>
        </w:rPr>
        <w:t>100% SLA compliance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payment and revenue reporting environments.</w:t>
      </w:r>
    </w:p>
    <w:p w14:paraId="72BAFF2E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Trained and guided </w:t>
      </w:r>
      <w:r>
        <w:rPr>
          <w:b/>
          <w:bCs/>
          <w:color w:val="000000"/>
        </w:rPr>
        <w:t>3 data analytics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BigQuery SQL</w:t>
      </w:r>
      <w:r>
        <w:rPr>
          <w:color w:val="000000"/>
        </w:rPr>
        <w:t xml:space="preserve"> optimization,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development,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reporting, and </w:t>
      </w:r>
      <w:r>
        <w:rPr>
          <w:b/>
          <w:bCs/>
          <w:color w:val="000000"/>
        </w:rPr>
        <w:t>Agile</w:t>
      </w:r>
      <w:r>
        <w:rPr>
          <w:color w:val="000000"/>
        </w:rPr>
        <w:t xml:space="preserve"> delivery practices — increasing team delivery capacity within a 90-day cycle.</w:t>
      </w:r>
    </w:p>
    <w:p w14:paraId="0ADC6F7D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Data Science Engineer  /  Project Controls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Jan 2023 – Jan 2025</w:t>
      </w:r>
    </w:p>
    <w:p w14:paraId="45ADD7EA" w14:textId="77777777" w:rsidR="002B2871" w:rsidRDefault="00000000">
      <w:pPr>
        <w:spacing w:after="44"/>
      </w:pPr>
      <w:r>
        <w:rPr>
          <w:b/>
          <w:bCs/>
          <w:color w:val="000000"/>
        </w:rPr>
        <w:t>Charge EPC</w:t>
      </w:r>
      <w:r>
        <w:rPr>
          <w:i/>
          <w:iCs/>
          <w:color w:val="000000"/>
        </w:rPr>
        <w:t xml:space="preserve">  —  Infrastructure &amp; Energy  |  SAP · AWS · Power BI · Delta Lake · Terraform · Viewpoint Vista · Precon · Python · SQL · Advanced Excel</w:t>
      </w:r>
    </w:p>
    <w:p w14:paraId="39410D1E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CFO Partnership &amp; Strategic Impact</w:t>
      </w:r>
      <w:r>
        <w:rPr>
          <w:color w:val="000000"/>
        </w:rPr>
        <w:t xml:space="preserve"> — Served as primary analytics partner to </w:t>
      </w:r>
      <w:r>
        <w:rPr>
          <w:b/>
          <w:bCs/>
          <w:color w:val="000000"/>
        </w:rPr>
        <w:t>CFO and Finance leadership</w:t>
      </w:r>
      <w:r>
        <w:rPr>
          <w:color w:val="000000"/>
        </w:rPr>
        <w:t xml:space="preserve">, architecting financial reporting and forecasting data models for a </w:t>
      </w:r>
      <w:r>
        <w:rPr>
          <w:b/>
          <w:bCs/>
          <w:color w:val="000000"/>
        </w:rPr>
        <w:t>$500M+ infrastructure portfolio</w:t>
      </w:r>
      <w:r>
        <w:rPr>
          <w:color w:val="000000"/>
        </w:rPr>
        <w:t xml:space="preserve"> (PG&amp;E, SoCal Gas, ChargePoint) on </w:t>
      </w:r>
      <w:r>
        <w:rPr>
          <w:b/>
          <w:bCs/>
          <w:color w:val="000000"/>
        </w:rPr>
        <w:t>AWS (S3, Glue, Redshift)</w:t>
      </w:r>
      <w:r>
        <w:rPr>
          <w:color w:val="000000"/>
        </w:rPr>
        <w:t xml:space="preserve"> — designed </w:t>
      </w:r>
      <w:r>
        <w:rPr>
          <w:b/>
          <w:bCs/>
          <w:color w:val="000000"/>
        </w:rPr>
        <w:t>Python/SQL predictive forecasts</w:t>
      </w:r>
      <w:r>
        <w:rPr>
          <w:color w:val="000000"/>
        </w:rPr>
        <w:t xml:space="preserve"> enabling </w:t>
      </w:r>
      <w:r>
        <w:rPr>
          <w:b/>
          <w:bCs/>
          <w:color w:val="000000"/>
        </w:rPr>
        <w:t>$50M+</w:t>
      </w:r>
      <w:r>
        <w:rPr>
          <w:color w:val="000000"/>
        </w:rPr>
        <w:t xml:space="preserve"> in data-driven contract approvals and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>.</w:t>
      </w:r>
    </w:p>
    <w:p w14:paraId="0FA0FAF6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Led </w:t>
      </w:r>
      <w:r>
        <w:rPr>
          <w:b/>
          <w:bCs/>
          <w:color w:val="000000"/>
        </w:rPr>
        <w:t>ERP integration and transition</w:t>
      </w:r>
      <w:r>
        <w:rPr>
          <w:color w:val="000000"/>
        </w:rPr>
        <w:t xml:space="preserve"> from legacy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Precon</w:t>
      </w:r>
      <w:r>
        <w:rPr>
          <w:color w:val="000000"/>
        </w:rPr>
        <w:t xml:space="preserve"> systems to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 — documented </w:t>
      </w:r>
      <w:r>
        <w:rPr>
          <w:b/>
          <w:bCs/>
          <w:color w:val="000000"/>
        </w:rPr>
        <w:t>40+ BRD/FRD</w:t>
      </w:r>
      <w:r>
        <w:rPr>
          <w:color w:val="000000"/>
        </w:rPr>
        <w:t xml:space="preserve"> requirements, engineered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migration pipelines on </w:t>
      </w:r>
      <w:r>
        <w:rPr>
          <w:b/>
          <w:bCs/>
          <w:color w:val="000000"/>
        </w:rPr>
        <w:t>Delta Lake (AWS)</w:t>
      </w:r>
      <w:r>
        <w:rPr>
          <w:color w:val="000000"/>
        </w:rPr>
        <w:t xml:space="preserve">, and integrated </w:t>
      </w:r>
      <w:r>
        <w:rPr>
          <w:b/>
          <w:bCs/>
          <w:color w:val="000000"/>
        </w:rPr>
        <w:t>AI-assisted Python classification models</w:t>
      </w:r>
      <w:r>
        <w:rPr>
          <w:color w:val="000000"/>
        </w:rPr>
        <w:t xml:space="preserve"> (scikit-learn) to auto-tag cost-code records, reducing manual remediation by </w:t>
      </w:r>
      <w:r>
        <w:rPr>
          <w:b/>
          <w:bCs/>
          <w:color w:val="000000"/>
        </w:rPr>
        <w:t>65%</w:t>
      </w:r>
      <w:r>
        <w:rPr>
          <w:color w:val="000000"/>
        </w:rPr>
        <w:t>.</w:t>
      </w:r>
    </w:p>
    <w:p w14:paraId="2DC878A6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Proactively identified </w:t>
      </w:r>
      <w:r>
        <w:rPr>
          <w:b/>
          <w:bCs/>
          <w:color w:val="000000"/>
        </w:rPr>
        <w:t>$350K+</w:t>
      </w:r>
      <w:r>
        <w:rPr>
          <w:color w:val="000000"/>
        </w:rPr>
        <w:t xml:space="preserve"> in cross-entity </w:t>
      </w:r>
      <w:r>
        <w:rPr>
          <w:b/>
          <w:bCs/>
          <w:color w:val="000000"/>
        </w:rPr>
        <w:t>underbilling and overbilling</w:t>
      </w:r>
      <w:r>
        <w:rPr>
          <w:color w:val="000000"/>
        </w:rPr>
        <w:t xml:space="preserve"> discrepancies via high-granularity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anomaly detection across </w:t>
      </w:r>
      <w:r>
        <w:rPr>
          <w:b/>
          <w:bCs/>
          <w:color w:val="000000"/>
        </w:rPr>
        <w:t>Foundation and SAP</w:t>
      </w:r>
      <w:r>
        <w:rPr>
          <w:color w:val="000000"/>
        </w:rPr>
        <w:t xml:space="preserve"> datasets — implemented permanent reconciliation procedures on </w:t>
      </w:r>
      <w:r>
        <w:rPr>
          <w:b/>
          <w:bCs/>
          <w:color w:val="000000"/>
        </w:rPr>
        <w:t>AWS RDS</w:t>
      </w:r>
      <w:r>
        <w:rPr>
          <w:color w:val="000000"/>
        </w:rPr>
        <w:t xml:space="preserve"> reducing audit adjustments by </w:t>
      </w:r>
      <w:r>
        <w:rPr>
          <w:b/>
          <w:bCs/>
          <w:color w:val="000000"/>
        </w:rPr>
        <w:t>90%</w:t>
      </w:r>
      <w:r>
        <w:rPr>
          <w:color w:val="000000"/>
        </w:rPr>
        <w:t>.</w:t>
      </w:r>
    </w:p>
    <w:p w14:paraId="7EC94481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executive dashboards and automated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alerting workflows monitoring </w:t>
      </w:r>
      <w:r>
        <w:rPr>
          <w:b/>
          <w:bCs/>
          <w:color w:val="000000"/>
        </w:rPr>
        <w:t>Earned Value Management (EVM)</w:t>
      </w:r>
      <w:r>
        <w:rPr>
          <w:color w:val="000000"/>
        </w:rPr>
        <w:t xml:space="preserve"> metrics (</w:t>
      </w:r>
      <w:r>
        <w:rPr>
          <w:b/>
          <w:bCs/>
          <w:color w:val="000000"/>
        </w:rPr>
        <w:t>SPI/CPI</w:t>
      </w:r>
      <w:r>
        <w:rPr>
          <w:color w:val="000000"/>
        </w:rPr>
        <w:t xml:space="preserve">), budget burn rates, and subcontractor billing anomalies in real time — reduced manual report assembly from </w:t>
      </w:r>
      <w:r>
        <w:rPr>
          <w:b/>
          <w:bCs/>
          <w:color w:val="000000"/>
        </w:rPr>
        <w:t>40 hours to 4 hours/month</w:t>
      </w:r>
      <w:r>
        <w:rPr>
          <w:color w:val="000000"/>
        </w:rPr>
        <w:t xml:space="preserve"> and escalation response time by </w:t>
      </w:r>
      <w:r>
        <w:rPr>
          <w:b/>
          <w:bCs/>
          <w:color w:val="000000"/>
        </w:rPr>
        <w:t>60%</w:t>
      </w:r>
      <w:r>
        <w:rPr>
          <w:color w:val="000000"/>
        </w:rPr>
        <w:t>.</w:t>
      </w:r>
    </w:p>
    <w:p w14:paraId="0A55FEA7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predictive analytics models</w:t>
      </w:r>
      <w:r>
        <w:rPr>
          <w:color w:val="000000"/>
        </w:rPr>
        <w:t xml:space="preserve"> (</w:t>
      </w:r>
      <w:r>
        <w:rPr>
          <w:b/>
          <w:bCs/>
          <w:color w:val="000000"/>
        </w:rPr>
        <w:t>Python, scikit-learn</w:t>
      </w:r>
      <w:r>
        <w:rPr>
          <w:color w:val="000000"/>
        </w:rPr>
        <w:t xml:space="preserve">) tracking schedule variance and cost performance index across high-risk </w:t>
      </w:r>
      <w:r>
        <w:rPr>
          <w:b/>
          <w:bCs/>
          <w:color w:val="000000"/>
        </w:rPr>
        <w:t>PG&amp;E and SoCal Gas</w:t>
      </w:r>
      <w:r>
        <w:rPr>
          <w:color w:val="000000"/>
        </w:rPr>
        <w:t xml:space="preserve"> infrastructure projects — prevented </w:t>
      </w:r>
      <w:r>
        <w:rPr>
          <w:b/>
          <w:bCs/>
          <w:color w:val="000000"/>
        </w:rPr>
        <w:t>$2M+</w:t>
      </w:r>
      <w:r>
        <w:rPr>
          <w:color w:val="000000"/>
        </w:rPr>
        <w:t xml:space="preserve"> in projected cost overruns across 3 project sites through proactive data-driven intervention.</w:t>
      </w:r>
    </w:p>
    <w:p w14:paraId="201714D4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Terraform</w:t>
      </w:r>
      <w:r>
        <w:rPr>
          <w:color w:val="000000"/>
        </w:rPr>
        <w:t xml:space="preserve">-managed cloud infrastructure supporting production analytics pipelines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— standardized deployment processes and reduced environment provisioning time by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while enforcing data governance, security, and access control best practices.</w:t>
      </w:r>
    </w:p>
    <w:p w14:paraId="3086B96C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Mentored and guided </w:t>
      </w:r>
      <w:r>
        <w:rPr>
          <w:b/>
          <w:bCs/>
          <w:color w:val="000000"/>
        </w:rPr>
        <w:t>2 junior analysts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AWS SQL</w:t>
      </w:r>
      <w:r>
        <w:rPr>
          <w:color w:val="000000"/>
        </w:rPr>
        <w:t xml:space="preserve"> query optimization, </w:t>
      </w:r>
      <w:r>
        <w:rPr>
          <w:b/>
          <w:bCs/>
          <w:color w:val="000000"/>
        </w:rPr>
        <w:t>Power BI DAX</w:t>
      </w:r>
      <w:r>
        <w:rPr>
          <w:color w:val="000000"/>
        </w:rPr>
        <w:t xml:space="preserve"> modeling, and data governance best practices — improving team throughput and reporting quality within a </w:t>
      </w:r>
      <w:r>
        <w:rPr>
          <w:b/>
          <w:bCs/>
          <w:color w:val="000000"/>
        </w:rPr>
        <w:t>6-month period</w:t>
      </w:r>
      <w:r>
        <w:rPr>
          <w:color w:val="000000"/>
        </w:rPr>
        <w:t>.</w:t>
      </w:r>
    </w:p>
    <w:p w14:paraId="3B8424C0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Data Analyst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May 2022 – Dec 2022</w:t>
      </w:r>
    </w:p>
    <w:p w14:paraId="57829C49" w14:textId="77777777" w:rsidR="002B2871" w:rsidRDefault="00000000">
      <w:pPr>
        <w:spacing w:after="44"/>
      </w:pPr>
      <w:r>
        <w:rPr>
          <w:b/>
          <w:bCs/>
          <w:color w:val="000000"/>
        </w:rPr>
        <w:t>B2U Storage Solutions</w:t>
      </w:r>
      <w:r>
        <w:rPr>
          <w:i/>
          <w:iCs/>
          <w:color w:val="000000"/>
        </w:rPr>
        <w:t xml:space="preserve">  —  Supply Chain &amp; EV Battery Asset Management  |  Python · SQL · IoT · dbt · Tableau · ML · Databricks · Big Data</w:t>
      </w:r>
    </w:p>
    <w:p w14:paraId="48B281BF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Architected an end-to-end </w:t>
      </w:r>
      <w:r>
        <w:rPr>
          <w:b/>
          <w:bCs/>
          <w:color w:val="000000"/>
        </w:rPr>
        <w:t>IoT data pipeline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inventory performance ticketing tool</w:t>
      </w:r>
      <w:r>
        <w:rPr>
          <w:color w:val="000000"/>
        </w:rPr>
        <w:t xml:space="preserve"> using </w:t>
      </w:r>
      <w:r>
        <w:rPr>
          <w:b/>
          <w:bCs/>
          <w:color w:val="000000"/>
        </w:rPr>
        <w:t>Python, SQL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— ingesting telemetry from </w:t>
      </w:r>
      <w:r>
        <w:rPr>
          <w:b/>
          <w:bCs/>
          <w:color w:val="000000"/>
        </w:rPr>
        <w:t>500+ EV battery assets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PG&amp;E, SoCal Gas, and ChargePoint</w:t>
      </w:r>
      <w:r>
        <w:rPr>
          <w:color w:val="000000"/>
        </w:rPr>
        <w:t xml:space="preserve"> deployments; reduced report generation from </w:t>
      </w:r>
      <w:r>
        <w:rPr>
          <w:b/>
          <w:bCs/>
          <w:color w:val="000000"/>
        </w:rPr>
        <w:t>6 hours to 15 minutes</w:t>
      </w:r>
      <w:r>
        <w:rPr>
          <w:color w:val="000000"/>
        </w:rPr>
        <w:t xml:space="preserve"> and improved asset operations visibility by </w:t>
      </w:r>
      <w:r>
        <w:rPr>
          <w:b/>
          <w:bCs/>
          <w:color w:val="000000"/>
        </w:rPr>
        <w:t>30%</w:t>
      </w:r>
      <w:r>
        <w:rPr>
          <w:color w:val="000000"/>
        </w:rPr>
        <w:t>.</w:t>
      </w:r>
    </w:p>
    <w:p w14:paraId="03286571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predictive analytics and ML models</w:t>
      </w:r>
      <w:r>
        <w:rPr>
          <w:color w:val="000000"/>
        </w:rPr>
        <w:t xml:space="preserve"> (</w:t>
      </w:r>
      <w:r>
        <w:rPr>
          <w:b/>
          <w:bCs/>
          <w:color w:val="000000"/>
        </w:rPr>
        <w:t>Python, scikit-learn</w:t>
      </w:r>
      <w:r>
        <w:rPr>
          <w:color w:val="000000"/>
        </w:rPr>
        <w:t xml:space="preserve">) for battery </w:t>
      </w:r>
      <w:r>
        <w:rPr>
          <w:b/>
          <w:bCs/>
          <w:color w:val="000000"/>
        </w:rPr>
        <w:t>State-of-Health (SoH)</w:t>
      </w:r>
      <w:r>
        <w:rPr>
          <w:color w:val="000000"/>
        </w:rPr>
        <w:t xml:space="preserve"> scoring and failure pattern detection across </w:t>
      </w:r>
      <w:r>
        <w:rPr>
          <w:b/>
          <w:bCs/>
          <w:color w:val="000000"/>
        </w:rPr>
        <w:t>500+ second-life EV batteries</w:t>
      </w:r>
      <w:r>
        <w:rPr>
          <w:color w:val="000000"/>
        </w:rPr>
        <w:t xml:space="preserve"> — extended average battery cycle life by an estimated </w:t>
      </w:r>
      <w:r>
        <w:rPr>
          <w:b/>
          <w:bCs/>
          <w:color w:val="000000"/>
        </w:rPr>
        <w:t>12%</w:t>
      </w:r>
      <w:r>
        <w:rPr>
          <w:color w:val="000000"/>
        </w:rPr>
        <w:t xml:space="preserve"> and generated </w:t>
      </w:r>
      <w:r>
        <w:rPr>
          <w:b/>
          <w:bCs/>
          <w:color w:val="000000"/>
        </w:rPr>
        <w:t>$150K+</w:t>
      </w:r>
      <w:r>
        <w:rPr>
          <w:color w:val="000000"/>
        </w:rPr>
        <w:t xml:space="preserve"> in annual maintenance savings.</w:t>
      </w:r>
    </w:p>
    <w:p w14:paraId="3FC8467D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a scalable </w:t>
      </w:r>
      <w:r>
        <w:rPr>
          <w:b/>
          <w:bCs/>
          <w:color w:val="000000"/>
        </w:rPr>
        <w:t>data warehouse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IoT telemetry, CMMS maintenance</w:t>
      </w:r>
      <w:r>
        <w:rPr>
          <w:color w:val="000000"/>
        </w:rPr>
        <w:t xml:space="preserve">, and procurement datasets through </w:t>
      </w:r>
      <w:r>
        <w:rPr>
          <w:b/>
          <w:bCs/>
          <w:color w:val="000000"/>
        </w:rPr>
        <w:t>big data</w:t>
      </w:r>
      <w:r>
        <w:rPr>
          <w:color w:val="000000"/>
        </w:rPr>
        <w:t xml:space="preserve"> processing and </w:t>
      </w:r>
      <w:r>
        <w:rPr>
          <w:b/>
          <w:bCs/>
          <w:color w:val="000000"/>
        </w:rPr>
        <w:t>data mining</w:t>
      </w:r>
      <w:r>
        <w:rPr>
          <w:color w:val="000000"/>
        </w:rPr>
        <w:t xml:space="preserve"> techniques — enabled real-time monitoring for </w:t>
      </w:r>
      <w:r>
        <w:rPr>
          <w:b/>
          <w:bCs/>
          <w:color w:val="000000"/>
        </w:rPr>
        <w:t>500+ assets</w:t>
      </w:r>
      <w:r>
        <w:rPr>
          <w:color w:val="000000"/>
        </w:rPr>
        <w:t>, reducing reporting latency from weekly to real-time for C-suite operational decisions.</w:t>
      </w:r>
    </w:p>
    <w:p w14:paraId="01450A39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executive dashboards translating operational telemetry and supply chain KPIs into actionable performance analytics — established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integrity standards supporting multi-source asset intelligence for energy sector clients (</w:t>
      </w:r>
      <w:r>
        <w:rPr>
          <w:b/>
          <w:bCs/>
          <w:color w:val="000000"/>
        </w:rPr>
        <w:t>PG&amp;E, SoCal Gas, ChargePoint</w:t>
      </w:r>
      <w:r>
        <w:rPr>
          <w:color w:val="000000"/>
        </w:rPr>
        <w:t>).</w:t>
      </w:r>
    </w:p>
    <w:p w14:paraId="50A5EAE6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Collaborated with </w:t>
      </w:r>
      <w:r>
        <w:rPr>
          <w:b/>
          <w:bCs/>
          <w:color w:val="000000"/>
        </w:rPr>
        <w:t>C-suite and executive stakeholders</w:t>
      </w:r>
      <w:r>
        <w:rPr>
          <w:color w:val="000000"/>
        </w:rPr>
        <w:t xml:space="preserve"> to deliver </w:t>
      </w:r>
      <w:r>
        <w:rPr>
          <w:b/>
          <w:bCs/>
          <w:color w:val="000000"/>
        </w:rPr>
        <w:t>data-driven insights</w:t>
      </w:r>
      <w:r>
        <w:rPr>
          <w:color w:val="000000"/>
        </w:rPr>
        <w:t xml:space="preserve"> on asset performance and inventory optimization — supporting strategic investment decisions for second-life </w:t>
      </w:r>
      <w:r>
        <w:rPr>
          <w:b/>
          <w:bCs/>
          <w:color w:val="000000"/>
        </w:rPr>
        <w:t>EV battery</w:t>
      </w:r>
      <w:r>
        <w:rPr>
          <w:color w:val="000000"/>
        </w:rPr>
        <w:t xml:space="preserve"> technology in the </w:t>
      </w:r>
      <w:r>
        <w:rPr>
          <w:b/>
          <w:bCs/>
          <w:color w:val="000000"/>
        </w:rPr>
        <w:t>semiconductor and energy</w:t>
      </w:r>
      <w:r>
        <w:rPr>
          <w:color w:val="000000"/>
        </w:rPr>
        <w:t xml:space="preserve"> domain.</w:t>
      </w:r>
    </w:p>
    <w:p w14:paraId="08314A42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Product Engineer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Dec 2017 – Sep 2020</w:t>
      </w:r>
    </w:p>
    <w:p w14:paraId="65FA769A" w14:textId="77777777" w:rsidR="002B2871" w:rsidRDefault="00000000">
      <w:pPr>
        <w:spacing w:after="44"/>
      </w:pPr>
      <w:r>
        <w:rPr>
          <w:b/>
          <w:bCs/>
          <w:color w:val="000000"/>
        </w:rPr>
        <w:t>Intellect Design Arena Ltd.</w:t>
      </w:r>
      <w:r>
        <w:rPr>
          <w:i/>
          <w:iCs/>
          <w:color w:val="000000"/>
        </w:rPr>
        <w:t xml:space="preserve">  —  FinTech / Banking &amp; Insurance SaaS  |  Cloud · Snowflake · Airflow · Python · SQL · dbt · ETL/ELT</w:t>
      </w:r>
    </w:p>
    <w:p w14:paraId="54A4EDBA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iPSH Delivery Award</w:t>
      </w:r>
      <w:r>
        <w:rPr>
          <w:color w:val="000000"/>
        </w:rPr>
        <w:t xml:space="preserve"> — Recognized for on-time, in-full delivery of the </w:t>
      </w:r>
      <w:r>
        <w:rPr>
          <w:b/>
          <w:bCs/>
          <w:color w:val="000000"/>
        </w:rPr>
        <w:t>iPSH digital payment product</w:t>
      </w:r>
      <w:r>
        <w:rPr>
          <w:color w:val="000000"/>
        </w:rPr>
        <w:t xml:space="preserve">; engineered cloud-integrated </w:t>
      </w:r>
      <w:r>
        <w:rPr>
          <w:b/>
          <w:bCs/>
          <w:color w:val="000000"/>
        </w:rPr>
        <w:t>ETL/ELT pipelines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Snowflake data warehousing</w:t>
      </w:r>
      <w:r>
        <w:rPr>
          <w:color w:val="000000"/>
        </w:rPr>
        <w:t xml:space="preserve"> solutions for </w:t>
      </w:r>
      <w:r>
        <w:rPr>
          <w:b/>
          <w:bCs/>
          <w:color w:val="000000"/>
        </w:rPr>
        <w:t>15+ global banking clients</w:t>
      </w:r>
      <w:r>
        <w:rPr>
          <w:color w:val="000000"/>
        </w:rPr>
        <w:t xml:space="preserve"> across the full payment lifecycle (</w:t>
      </w:r>
      <w:r>
        <w:rPr>
          <w:b/>
          <w:bCs/>
          <w:color w:val="000000"/>
        </w:rPr>
        <w:t>authorization, settlement, dispute resolution, reconciliation</w:t>
      </w:r>
      <w:r>
        <w:rPr>
          <w:color w:val="000000"/>
        </w:rPr>
        <w:t>).</w:t>
      </w:r>
    </w:p>
    <w:p w14:paraId="5640D51B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Python/SQL</w:t>
      </w:r>
      <w:r>
        <w:rPr>
          <w:color w:val="000000"/>
        </w:rPr>
        <w:t xml:space="preserve"> analytics engines surfacing </w:t>
      </w:r>
      <w:r>
        <w:rPr>
          <w:b/>
          <w:bCs/>
          <w:color w:val="000000"/>
        </w:rPr>
        <w:t>$2.5M</w:t>
      </w:r>
      <w:r>
        <w:rPr>
          <w:color w:val="000000"/>
        </w:rPr>
        <w:t xml:space="preserve"> in monthly </w:t>
      </w:r>
      <w:r>
        <w:rPr>
          <w:b/>
          <w:bCs/>
          <w:color w:val="000000"/>
        </w:rPr>
        <w:t>payment processing anomalies</w:t>
      </w:r>
      <w:r>
        <w:rPr>
          <w:color w:val="000000"/>
        </w:rPr>
        <w:t xml:space="preserve"> across multi-source transaction datasets — improved client revenue retention by </w:t>
      </w:r>
      <w:r>
        <w:rPr>
          <w:b/>
          <w:bCs/>
          <w:color w:val="000000"/>
        </w:rPr>
        <w:t>22%</w:t>
      </w:r>
      <w:r>
        <w:rPr>
          <w:color w:val="000000"/>
        </w:rPr>
        <w:t xml:space="preserve"> and reduced </w:t>
      </w:r>
      <w:r>
        <w:rPr>
          <w:b/>
          <w:bCs/>
          <w:color w:val="000000"/>
        </w:rPr>
        <w:t>chargeback</w:t>
      </w:r>
      <w:r>
        <w:rPr>
          <w:color w:val="000000"/>
        </w:rPr>
        <w:t xml:space="preserve"> resolution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through </w:t>
      </w:r>
      <w:r>
        <w:rPr>
          <w:b/>
          <w:bCs/>
          <w:color w:val="000000"/>
        </w:rPr>
        <w:t>dbt</w:t>
      </w:r>
      <w:r>
        <w:rPr>
          <w:color w:val="000000"/>
        </w:rPr>
        <w:t>-powered transformation models.</w:t>
      </w:r>
    </w:p>
    <w:p w14:paraId="103C532A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cloud-based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and dimensional data models for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-compliant </w:t>
      </w:r>
      <w:r>
        <w:rPr>
          <w:b/>
          <w:bCs/>
          <w:color w:val="000000"/>
        </w:rPr>
        <w:t>payments processing, tokenization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fraud detection</w:t>
      </w:r>
      <w:r>
        <w:rPr>
          <w:color w:val="000000"/>
        </w:rPr>
        <w:t xml:space="preserve"> — reduced reconciliation cycle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</w:t>
      </w:r>
      <w:r>
        <w:rPr>
          <w:b/>
          <w:bCs/>
          <w:color w:val="000000"/>
        </w:rPr>
        <w:t>Airflow</w:t>
      </w:r>
      <w:r>
        <w:rPr>
          <w:color w:val="000000"/>
        </w:rPr>
        <w:t xml:space="preserve">-orchestrated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quality checks and schema validation.</w:t>
      </w:r>
    </w:p>
    <w:p w14:paraId="754F2A60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Optimized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query performance by </w:t>
      </w:r>
      <w:r>
        <w:rPr>
          <w:b/>
          <w:bCs/>
          <w:color w:val="000000"/>
        </w:rPr>
        <w:t>45%</w:t>
      </w:r>
      <w:r>
        <w:rPr>
          <w:color w:val="000000"/>
        </w:rPr>
        <w:t xml:space="preserve"> through index tuning and partitioned table design across </w:t>
      </w:r>
      <w:r>
        <w:rPr>
          <w:b/>
          <w:bCs/>
          <w:color w:val="000000"/>
        </w:rPr>
        <w:t>cloud integration</w:t>
      </w:r>
      <w:r>
        <w:rPr>
          <w:color w:val="000000"/>
        </w:rPr>
        <w:t xml:space="preserve"> layers — enabling real-time visibility for banking leadership on </w:t>
      </w:r>
      <w:r>
        <w:rPr>
          <w:b/>
          <w:bCs/>
          <w:color w:val="000000"/>
        </w:rPr>
        <w:t>fraud trends, settlement performance</w:t>
      </w:r>
      <w:r>
        <w:rPr>
          <w:color w:val="000000"/>
        </w:rPr>
        <w:t>, and dispute rates across APAC and MENA markets.</w:t>
      </w:r>
    </w:p>
    <w:p w14:paraId="7919A6F3" w14:textId="77777777" w:rsidR="002B2871" w:rsidRDefault="00000000">
      <w:pPr>
        <w:tabs>
          <w:tab w:val="right" w:pos="10080"/>
        </w:tabs>
        <w:spacing w:before="115"/>
      </w:pPr>
      <w:r>
        <w:rPr>
          <w:b/>
          <w:bCs/>
          <w:color w:val="1A3A5C"/>
          <w:sz w:val="22"/>
          <w:szCs w:val="22"/>
        </w:rPr>
        <w:t>Business Data Analyst</w:t>
      </w:r>
      <w:r>
        <w:rPr>
          <w:b/>
          <w:bCs/>
          <w:color w:val="1A3A5C"/>
          <w:sz w:val="22"/>
          <w:szCs w:val="22"/>
        </w:rPr>
        <w:tab/>
      </w:r>
      <w:r>
        <w:rPr>
          <w:b/>
          <w:bCs/>
          <w:color w:val="1A3A5C"/>
        </w:rPr>
        <w:t>Jan 2016 – Dec 2017</w:t>
      </w:r>
    </w:p>
    <w:p w14:paraId="68269EB4" w14:textId="77777777" w:rsidR="002B2871" w:rsidRDefault="00000000">
      <w:pPr>
        <w:spacing w:after="44"/>
      </w:pPr>
      <w:r>
        <w:rPr>
          <w:b/>
          <w:bCs/>
          <w:color w:val="000000"/>
        </w:rPr>
        <w:t>Globuzz Media</w:t>
      </w:r>
      <w:r>
        <w:rPr>
          <w:i/>
          <w:iCs/>
          <w:color w:val="000000"/>
        </w:rPr>
        <w:t xml:space="preserve">  —  Digital Marketing Analytics  |  SQL · dbt · Power BI · Advanced Excel</w:t>
      </w:r>
    </w:p>
    <w:p w14:paraId="2CA344EC" w14:textId="77777777" w:rsidR="002B287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2" w:after="22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clickstream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customer behavior</w:t>
      </w:r>
      <w:r>
        <w:rPr>
          <w:color w:val="000000"/>
        </w:rPr>
        <w:t xml:space="preserve"> analytics models using </w:t>
      </w:r>
      <w:r>
        <w:rPr>
          <w:b/>
          <w:bCs/>
          <w:color w:val="000000"/>
        </w:rPr>
        <w:t>SQL, dbt, Power BI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Advanced Excel</w:t>
      </w:r>
      <w:r>
        <w:rPr>
          <w:color w:val="000000"/>
        </w:rPr>
        <w:t xml:space="preserve"> for AdTech clients — improved audience targeting efficiency by </w:t>
      </w:r>
      <w:r>
        <w:rPr>
          <w:b/>
          <w:bCs/>
          <w:color w:val="000000"/>
        </w:rPr>
        <w:t>20%</w:t>
      </w:r>
      <w:r>
        <w:rPr>
          <w:color w:val="000000"/>
        </w:rPr>
        <w:t xml:space="preserve"> through data-driven </w:t>
      </w:r>
      <w:r>
        <w:rPr>
          <w:b/>
          <w:bCs/>
          <w:color w:val="000000"/>
        </w:rPr>
        <w:t>business analytics</w:t>
      </w:r>
      <w:r>
        <w:rPr>
          <w:color w:val="000000"/>
        </w:rPr>
        <w:t xml:space="preserve"> and media strategy recommendations synthesized from multi-source digital marketing datasets with client collaboration.</w:t>
      </w:r>
    </w:p>
    <w:p w14:paraId="0E97C9EF" w14:textId="77777777" w:rsidR="002B2871" w:rsidRDefault="00000000">
      <w:pPr>
        <w:pBdr>
          <w:bottom w:val="single" w:sz="12" w:space="2" w:color="1A3A5C"/>
        </w:pBdr>
        <w:spacing w:before="160" w:after="60"/>
      </w:pPr>
      <w:r>
        <w:rPr>
          <w:b/>
          <w:bCs/>
          <w:color w:val="1A3A5C"/>
          <w:sz w:val="22"/>
          <w:szCs w:val="22"/>
        </w:rPr>
        <w:t>EDUCATION</w:t>
      </w:r>
    </w:p>
    <w:p w14:paraId="702A9224" w14:textId="77777777" w:rsidR="002B2871" w:rsidRDefault="00000000">
      <w:pPr>
        <w:tabs>
          <w:tab w:val="right" w:pos="10080"/>
        </w:tabs>
        <w:spacing w:before="50" w:after="24"/>
      </w:pPr>
      <w:r>
        <w:rPr>
          <w:b/>
          <w:bCs/>
          <w:color w:val="1A3A5C"/>
        </w:rPr>
        <w:t>MS in Business / Data Analytics</w:t>
      </w:r>
      <w:r>
        <w:rPr>
          <w:color w:val="000000"/>
        </w:rPr>
        <w:t xml:space="preserve">  |  California State University, East BayDec 2022</w:t>
      </w:r>
    </w:p>
    <w:p w14:paraId="2C355163" w14:textId="77777777" w:rsidR="002B2871" w:rsidRDefault="00000000">
      <w:pPr>
        <w:tabs>
          <w:tab w:val="right" w:pos="10080"/>
        </w:tabs>
        <w:spacing w:before="50" w:after="24"/>
      </w:pPr>
      <w:r>
        <w:rPr>
          <w:b/>
          <w:bCs/>
          <w:color w:val="1A3A5C"/>
        </w:rPr>
        <w:t>Post Graduate Diploma in Advanced Computing</w:t>
      </w:r>
      <w:r>
        <w:rPr>
          <w:color w:val="000000"/>
        </w:rPr>
        <w:t xml:space="preserve">  |  University of PuneDec 2016</w:t>
      </w:r>
    </w:p>
    <w:p w14:paraId="1480026F" w14:textId="77777777" w:rsidR="002B2871" w:rsidRDefault="00000000">
      <w:pPr>
        <w:tabs>
          <w:tab w:val="right" w:pos="10080"/>
        </w:tabs>
        <w:spacing w:before="50" w:after="24"/>
      </w:pPr>
      <w:r>
        <w:rPr>
          <w:b/>
          <w:bCs/>
          <w:color w:val="1A3A5C"/>
        </w:rPr>
        <w:t>Bachelor of Computer Engineering</w:t>
      </w:r>
      <w:r>
        <w:rPr>
          <w:color w:val="000000"/>
        </w:rPr>
        <w:t xml:space="preserve">  |  University of PuneJun 2016</w:t>
      </w:r>
    </w:p>
    <w:p w14:paraId="0DEA0A09" w14:textId="77777777" w:rsidR="002B2871" w:rsidRDefault="00000000">
      <w:pPr>
        <w:pBdr>
          <w:bottom w:val="single" w:sz="12" w:space="2" w:color="1A3A5C"/>
        </w:pBdr>
        <w:spacing w:before="160" w:after="60"/>
      </w:pPr>
      <w:r>
        <w:rPr>
          <w:b/>
          <w:bCs/>
          <w:color w:val="1A3A5C"/>
          <w:sz w:val="22"/>
          <w:szCs w:val="22"/>
        </w:rPr>
        <w:t>CORE COMPETENCIES &amp; TECHNICAL SKILLS</w:t>
      </w:r>
    </w:p>
    <w:p w14:paraId="668FA71A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Languages &amp; Programming:  </w:t>
      </w:r>
      <w:r>
        <w:rPr>
          <w:color w:val="000000"/>
          <w:sz w:val="20"/>
          <w:szCs w:val="20"/>
        </w:rPr>
        <w:t>SQL (Expert — Snowflake, BigQuery, Redshift, Oracle, Hive/Presto | Advanced CTEs, Window Functions, Query Optimization), Python (Pandas, NumPy, Scikit-learn, PySpark, LangChain, Streamlit, Automation Scripting), Scala, R, Bash</w:t>
      </w:r>
    </w:p>
    <w:p w14:paraId="300A7440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Cloud &amp; Data Platforms:  </w:t>
      </w:r>
      <w:r>
        <w:rPr>
          <w:color w:val="000000"/>
          <w:sz w:val="20"/>
          <w:szCs w:val="20"/>
        </w:rPr>
        <w:t>AWS (S3, Glue, Redshift, Lambda, SageMaker, EC2, RDS), GCP (BigQuery, Pub/Sub, Dataflow, Cloud Storage, Vertex AI), Azure (Data Factory, Synapse, Databricks, DevOps), Snowflake, Delta Lake, Oracle ERP, SAP, DynamoDB, MongoDB</w:t>
      </w:r>
    </w:p>
    <w:p w14:paraId="1C1A92FE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Data Engineering &amp; Pipelines:  </w:t>
      </w:r>
      <w:r>
        <w:rPr>
          <w:color w:val="000000"/>
          <w:sz w:val="20"/>
          <w:szCs w:val="20"/>
        </w:rPr>
        <w:t>ETL/ELT Pipeline Architecture, Apache Spark, Apache Kafka (Real-Time Streaming), Apache Airflow (Orchestration), dbt (Transformation, Testing, Lineage), CI/CD (GitLab, GitHub Actions), Terraform, DataOps, Data Lake Architecture</w:t>
      </w:r>
    </w:p>
    <w:p w14:paraId="4285E8A6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Data Warehousing &amp; Storage:  </w:t>
      </w:r>
      <w:r>
        <w:rPr>
          <w:color w:val="000000"/>
          <w:sz w:val="20"/>
          <w:szCs w:val="20"/>
        </w:rPr>
        <w:t>Snowflake, BigQuery, Databricks (Delta Lake), Amazon Redshift, Azure Synapse, Oracle ERP, SAP, SQL Server, PostgreSQL, MongoDB, NoSQL, Data Vault Modeling</w:t>
      </w:r>
    </w:p>
    <w:p w14:paraId="263B01FF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AI / ML &amp; Generative AI:  </w:t>
      </w:r>
      <w:r>
        <w:rPr>
          <w:color w:val="000000"/>
          <w:sz w:val="20"/>
          <w:szCs w:val="20"/>
        </w:rPr>
        <w:t>Scikit-learn, TensorFlow, PyTorch, BigQuery ML, LangChain, OpenAI API, RAG Pipelines, Prompt Engineering, Vector Databases (FAISS, Pinecone, Chroma), Anomaly Detection, Predictive Modeling, LLM Integration, AWS SageMaker</w:t>
      </w:r>
    </w:p>
    <w:p w14:paraId="40C8575F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BI &amp; Visualization:  </w:t>
      </w:r>
      <w:r>
        <w:rPr>
          <w:color w:val="000000"/>
          <w:sz w:val="20"/>
          <w:szCs w:val="20"/>
        </w:rPr>
        <w:t>Tableau (Development, Migration, Validation), Power BI (DAX, Power Query, Advanced Modeling), Looker / LookML (Semantic Layer), Qlik Sense, Sigma Computing, Streamlit, SSRS, Advanced Excel</w:t>
      </w:r>
    </w:p>
    <w:p w14:paraId="60CCB924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Data Governance &amp; Compliance:  </w:t>
      </w:r>
      <w:r>
        <w:rPr>
          <w:color w:val="000000"/>
          <w:sz w:val="20"/>
          <w:szCs w:val="20"/>
        </w:rPr>
        <w:t>HIPAA / PHI Compliance, PCI-DSS, SOX, HL7 / FHIR, Data Lineage, Great Expectations, Schema Validation, Audit Controls, Data Quality SLAs, Data Catalog, GDPR, PII Protection</w:t>
      </w:r>
    </w:p>
    <w:p w14:paraId="28E78DEB" w14:textId="77777777" w:rsidR="002B2871" w:rsidRDefault="00000000">
      <w:pPr>
        <w:spacing w:before="28" w:after="28"/>
        <w:jc w:val="both"/>
      </w:pPr>
      <w:r>
        <w:rPr>
          <w:b/>
          <w:bCs/>
          <w:color w:val="1A3A5C"/>
          <w:sz w:val="22"/>
          <w:szCs w:val="22"/>
        </w:rPr>
        <w:t xml:space="preserve">Domain Expertise:  </w:t>
      </w:r>
      <w:r>
        <w:rPr>
          <w:color w:val="000000"/>
          <w:sz w:val="20"/>
          <w:szCs w:val="20"/>
        </w:rPr>
        <w:t>Healthcare (EMR/EHR, EPIC, HEDIS, Medicare/Medicaid, HL7/FHIR), FinTech &amp; Digital Payments, Revenue Analytics &amp; FP&amp;A, IoT &amp; Asset Analytics, Infrastructure &amp; Energy, Supply Chain Operations, Executive Stakeholder Management</w:t>
      </w:r>
    </w:p>
    <w:sectPr w:rsidR="002B2871">
      <w:pgSz w:w="12240" w:h="15840"/>
      <w:pgMar w:top="1080" w:right="1080" w:bottom="108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2D8B36BB-3399-41D3-A800-80DA263B0FA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5CA39D7-864E-4889-84BE-5137B9E814E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E24216D6-3F98-46E0-9119-C7BB18DBE03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27989"/>
    <w:multiLevelType w:val="multilevel"/>
    <w:tmpl w:val="BDB08E74"/>
    <w:lvl w:ilvl="0">
      <w:start w:val="1"/>
      <w:numFmt w:val="bullet"/>
      <w:lvlText w:val="•"/>
      <w:lvlJc w:val="left"/>
      <w:pPr>
        <w:ind w:left="360" w:hanging="2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2118257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871"/>
    <w:rsid w:val="002B2871"/>
    <w:rsid w:val="004B6DFA"/>
    <w:rsid w:val="0097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16B99"/>
  <w15:docId w15:val="{6042BC4D-E848-4E09-8263-699064B85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2147</Words>
  <Characters>12240</Characters>
  <Application>Microsoft Office Word</Application>
  <DocSecurity>0</DocSecurity>
  <Lines>102</Lines>
  <Paragraphs>28</Paragraphs>
  <ScaleCrop>false</ScaleCrop>
  <Company/>
  <LinksUpToDate>false</LinksUpToDate>
  <CharactersWithSpaces>14359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2</cp:revision>
  <dcterms:created xsi:type="dcterms:W3CDTF">2026-05-15T04:05:00Z</dcterms:created>
  <dcterms:modified xsi:type="dcterms:W3CDTF">2026-05-15T04:06:00Z</dcterms:modified>
</cp:coreProperties>
</file>